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3C65" w:rsidRDefault="00663C65" w:rsidP="002A5355">
      <w:pPr>
        <w:tabs>
          <w:tab w:val="right" w:pos="7910"/>
        </w:tabs>
        <w:ind w:right="281"/>
        <w:jc w:val="both"/>
        <w:rPr>
          <w:rStyle w:val="Nessuno"/>
          <w:i/>
          <w:iCs/>
        </w:rPr>
      </w:pPr>
    </w:p>
    <w:p w:rsidR="002A5355" w:rsidRDefault="002A5355" w:rsidP="002A5355">
      <w:pPr>
        <w:tabs>
          <w:tab w:val="right" w:pos="7910"/>
        </w:tabs>
        <w:ind w:right="281"/>
        <w:jc w:val="both"/>
        <w:rPr>
          <w:rStyle w:val="Nessuno"/>
          <w:i/>
          <w:iCs/>
          <w:sz w:val="20"/>
          <w:szCs w:val="20"/>
        </w:rPr>
      </w:pPr>
    </w:p>
    <w:p w:rsidR="002A5355" w:rsidRDefault="002A5355" w:rsidP="002A5355">
      <w:pPr>
        <w:tabs>
          <w:tab w:val="right" w:pos="7910"/>
        </w:tabs>
        <w:ind w:right="281"/>
        <w:jc w:val="both"/>
        <w:rPr>
          <w:rStyle w:val="Nessuno"/>
          <w:i/>
          <w:iCs/>
          <w:sz w:val="20"/>
          <w:szCs w:val="20"/>
        </w:rPr>
      </w:pPr>
    </w:p>
    <w:p w:rsidR="00FF28DB" w:rsidRPr="00161C8A" w:rsidRDefault="00A46E2C" w:rsidP="005A3579">
      <w:pPr>
        <w:tabs>
          <w:tab w:val="right" w:pos="7910"/>
          <w:tab w:val="left" w:pos="8080"/>
        </w:tabs>
        <w:ind w:right="281"/>
        <w:jc w:val="both"/>
        <w:rPr>
          <w:rStyle w:val="Nessuno"/>
          <w:i/>
          <w:iCs/>
          <w:lang w:val="en-US"/>
        </w:rPr>
      </w:pPr>
      <w:r>
        <w:rPr>
          <w:rStyle w:val="Nessuno"/>
          <w:i/>
          <w:iCs/>
          <w:sz w:val="20"/>
          <w:szCs w:val="20"/>
          <w:bdr w:val="nil"/>
          <w:lang w:val="en-US"/>
        </w:rPr>
        <w:t>Press release no. 27/2025</w:t>
      </w:r>
    </w:p>
    <w:p w:rsidR="002A5355" w:rsidRPr="00161C8A" w:rsidRDefault="002A5355" w:rsidP="005A3579">
      <w:pPr>
        <w:tabs>
          <w:tab w:val="right" w:pos="7910"/>
          <w:tab w:val="left" w:pos="8080"/>
        </w:tabs>
        <w:ind w:right="281"/>
        <w:jc w:val="both"/>
        <w:rPr>
          <w:i/>
          <w:iCs/>
          <w:sz w:val="10"/>
          <w:szCs w:val="10"/>
          <w:lang w:val="en-US"/>
        </w:rPr>
      </w:pPr>
    </w:p>
    <w:p w:rsidR="007B3287" w:rsidRPr="00161C8A" w:rsidRDefault="00A46E2C" w:rsidP="007B3287">
      <w:pPr>
        <w:spacing w:after="160" w:line="259" w:lineRule="auto"/>
        <w:jc w:val="both"/>
        <w:rPr>
          <w:rFonts w:eastAsia="Aptos"/>
          <w:b/>
          <w:bCs/>
          <w:kern w:val="2"/>
          <w:sz w:val="28"/>
          <w:szCs w:val="28"/>
          <w:lang w:val="en-US" w:eastAsia="en-US"/>
          <w14:ligatures w14:val="standardContextual"/>
        </w:rPr>
      </w:pPr>
      <w:bookmarkStart w:id="0" w:name="_63jyd8dvb03v"/>
      <w:bookmarkEnd w:id="0"/>
      <w:r>
        <w:rPr>
          <w:b/>
          <w:bCs/>
          <w:kern w:val="2"/>
          <w:sz w:val="28"/>
          <w:szCs w:val="28"/>
          <w:bdr w:val="nil"/>
          <w:lang w:val="en-US" w:eastAsia="en-US"/>
        </w:rPr>
        <w:t xml:space="preserve">The </w:t>
      </w:r>
      <w:proofErr w:type="spellStart"/>
      <w:r>
        <w:rPr>
          <w:b/>
          <w:bCs/>
          <w:kern w:val="2"/>
          <w:sz w:val="28"/>
          <w:szCs w:val="28"/>
          <w:bdr w:val="nil"/>
          <w:lang w:val="en-US" w:eastAsia="en-US"/>
        </w:rPr>
        <w:t>Agrilevante</w:t>
      </w:r>
      <w:proofErr w:type="spellEnd"/>
      <w:r>
        <w:rPr>
          <w:b/>
          <w:bCs/>
          <w:kern w:val="2"/>
          <w:sz w:val="28"/>
          <w:szCs w:val="28"/>
          <w:bdr w:val="nil"/>
          <w:lang w:val="en-US" w:eastAsia="en-US"/>
        </w:rPr>
        <w:t xml:space="preserve"> Prize for the Most Innovative Machinery</w:t>
      </w:r>
    </w:p>
    <w:p w:rsidR="007B3287" w:rsidRPr="00161C8A" w:rsidRDefault="00A46E2C" w:rsidP="007B3287">
      <w:pPr>
        <w:spacing w:after="160" w:line="259" w:lineRule="auto"/>
        <w:jc w:val="both"/>
        <w:rPr>
          <w:rFonts w:eastAsia="Aptos"/>
          <w:b/>
          <w:bCs/>
          <w:i/>
          <w:iCs/>
          <w:kern w:val="2"/>
          <w:lang w:val="en-US" w:eastAsia="en-US"/>
          <w14:ligatures w14:val="standardContextual"/>
        </w:rPr>
      </w:pPr>
      <w:r>
        <w:rPr>
          <w:b/>
          <w:bCs/>
          <w:i/>
          <w:iCs/>
          <w:kern w:val="2"/>
          <w:bdr w:val="nil"/>
          <w:lang w:val="en-US" w:eastAsia="en-US"/>
        </w:rPr>
        <w:t>Exclusively</w:t>
      </w:r>
      <w:r>
        <w:rPr>
          <w:b/>
          <w:bCs/>
          <w:i/>
          <w:iCs/>
          <w:kern w:val="2"/>
          <w:bdr w:val="nil"/>
          <w:lang w:val="en-US" w:eastAsia="en-US"/>
        </w:rPr>
        <w:t xml:space="preserve"> for exhibiting industries, the competition assesses the technological level of new offerings and their ability to meet the needs of typical Mediterranean crops. A total of nine models were awarded prizes, eight of which are in the “Agricultural Work” cate</w:t>
      </w:r>
      <w:r>
        <w:rPr>
          <w:b/>
          <w:bCs/>
          <w:i/>
          <w:iCs/>
          <w:kern w:val="2"/>
          <w:bdr w:val="nil"/>
          <w:lang w:val="en-US" w:eastAsia="en-US"/>
        </w:rPr>
        <w:t>gory and one in the “Garden Care” category.</w:t>
      </w:r>
    </w:p>
    <w:p w:rsidR="007B3287" w:rsidRPr="00161C8A" w:rsidRDefault="00A46E2C" w:rsidP="007B3287">
      <w:pPr>
        <w:spacing w:after="160" w:line="259" w:lineRule="auto"/>
        <w:jc w:val="both"/>
        <w:rPr>
          <w:rFonts w:eastAsia="Calibri"/>
          <w:kern w:val="2"/>
          <w:lang w:val="en-US" w:eastAsia="en-US"/>
          <w14:ligatures w14:val="standardContextual"/>
        </w:rPr>
      </w:pPr>
      <w:r>
        <w:rPr>
          <w:kern w:val="2"/>
          <w:bdr w:val="nil"/>
          <w:lang w:val="en-US" w:eastAsia="en-US"/>
        </w:rPr>
        <w:t>The awards ceremony for the winning companies of the "Agrilevante - Machinery for Mediterranean Agriculture" competition, which recog</w:t>
      </w:r>
      <w:r>
        <w:rPr>
          <w:kern w:val="2"/>
          <w:bdr w:val="nil"/>
          <w:lang w:val="en-US" w:eastAsia="en-US"/>
        </w:rPr>
        <w:t>nizes the most innovative models produced for typical crops in the Basin, took place in Casale San Nicola, the historic farm holding located in Bisceglie. The competition, promoted by FederUnacoma and open to manufacturers exhibiting at the Agrilevante int</w:t>
      </w:r>
      <w:r>
        <w:rPr>
          <w:kern w:val="2"/>
          <w:bdr w:val="nil"/>
          <w:lang w:val="en-US" w:eastAsia="en-US"/>
        </w:rPr>
        <w:t>ernational exhibition, taking place at the Bari</w:t>
      </w:r>
      <w:r w:rsidR="00161C8A">
        <w:rPr>
          <w:kern w:val="2"/>
          <w:bdr w:val="nil"/>
          <w:lang w:val="en-US" w:eastAsia="en-US"/>
        </w:rPr>
        <w:t xml:space="preserve"> trade fair, features two distin</w:t>
      </w:r>
      <w:bookmarkStart w:id="1" w:name="_GoBack"/>
      <w:bookmarkEnd w:id="1"/>
      <w:r>
        <w:rPr>
          <w:kern w:val="2"/>
          <w:bdr w:val="nil"/>
          <w:lang w:val="en-US" w:eastAsia="en-US"/>
        </w:rPr>
        <w:t>ct sections this year: the first dedicated to agricultural technologies and the second to machinery and equipment for gardening. Nine models in total were awarded, eight of whic</w:t>
      </w:r>
      <w:r>
        <w:rPr>
          <w:kern w:val="2"/>
          <w:bdr w:val="nil"/>
          <w:lang w:val="en-US" w:eastAsia="en-US"/>
        </w:rPr>
        <w:t xml:space="preserve">h related to agricultural cultivation and one to greenery care. In the first section, the specially appointed panel of experts awarded the Tony 8900 TRG Bassa tractor for orchards and vineyards, specifically designed for operations under the canopy and in </w:t>
      </w:r>
      <w:r>
        <w:rPr>
          <w:kern w:val="2"/>
          <w:bdr w:val="nil"/>
          <w:lang w:val="en-US" w:eastAsia="en-US"/>
        </w:rPr>
        <w:t xml:space="preserve">low rows. Another winner </w:t>
      </w:r>
      <w:proofErr w:type="gramStart"/>
      <w:r>
        <w:rPr>
          <w:kern w:val="2"/>
          <w:bdr w:val="nil"/>
          <w:lang w:val="en-US" w:eastAsia="en-US"/>
        </w:rPr>
        <w:t>was  the</w:t>
      </w:r>
      <w:proofErr w:type="gramEnd"/>
      <w:r>
        <w:rPr>
          <w:kern w:val="2"/>
          <w:bdr w:val="nil"/>
          <w:lang w:val="en-US" w:eastAsia="en-US"/>
        </w:rPr>
        <w:t xml:space="preserve"> Landini REX 4 Energy model, particularly suited to use in intensive olive groves, as well as in the orchards and vineyards that are an integral part of Mediterranean agricultural landscapes. Other honorees include the ultr</w:t>
      </w:r>
      <w:r>
        <w:rPr>
          <w:kern w:val="2"/>
          <w:bdr w:val="nil"/>
          <w:lang w:val="en-US" w:eastAsia="en-US"/>
        </w:rPr>
        <w:t>asonic vineyard fertilizer spreader designed by Eurospand, which delivers fertilizer only close to the plants, offering economic and environmental benefits, the Newport Trio articulated trailed sprayer by Martignani, which stands out for its compactness; a</w:t>
      </w:r>
      <w:r>
        <w:rPr>
          <w:kern w:val="2"/>
          <w:bdr w:val="nil"/>
          <w:lang w:val="en-US" w:eastAsia="en-US"/>
        </w:rPr>
        <w:t>nd the HY1300 Agri autonomous, electric-powered agricultural rover by Clor Industry. Award-winning models also include Dondi's Olea 2 Pro tool carrier for bilateral inter-row tillage, which attracted attention for its advanced technical solutions, Roter It</w:t>
      </w:r>
      <w:r>
        <w:rPr>
          <w:kern w:val="2"/>
          <w:bdr w:val="nil"/>
          <w:lang w:val="en-US" w:eastAsia="en-US"/>
        </w:rPr>
        <w:t>alia's STF Pro mounted mulcher, specialized in applying BIO-film to protect crops, and Seppi M.'s R20 Pick Up CL shredder, designed to be paired with compact skid steers and capable of maximizing productivity as it does not require separating finer pruning</w:t>
      </w:r>
      <w:r>
        <w:rPr>
          <w:kern w:val="2"/>
          <w:bdr w:val="nil"/>
          <w:lang w:val="en-US" w:eastAsia="en-US"/>
        </w:rPr>
        <w:t>s from the rest. In the green care section, the Husqvarna P524XR EFI ride-on lawn tractor was awarded. This mower can be operated remotely by radio control, but also offers the option of an on-board operator and is capable of working even on steep slopes.</w:t>
      </w:r>
    </w:p>
    <w:p w:rsidR="005E2BDF" w:rsidRPr="00161C8A" w:rsidRDefault="00A46E2C" w:rsidP="00613678">
      <w:pPr>
        <w:jc w:val="both"/>
        <w:rPr>
          <w:lang w:val="en-US"/>
        </w:rPr>
      </w:pPr>
      <w:hyperlink r:id="rId7" w:history="1">
        <w:r>
          <w:rPr>
            <w:u w:val="single"/>
            <w:bdr w:val="nil"/>
            <w:lang w:val="en-US"/>
          </w:rPr>
          <w:t>https://www.agrilevante.eu/it/concorso-novita-tecniche-agrilevante.php</w:t>
        </w:r>
      </w:hyperlink>
    </w:p>
    <w:p w:rsidR="007254DA" w:rsidRPr="00161C8A" w:rsidRDefault="007254DA" w:rsidP="00613678">
      <w:pPr>
        <w:jc w:val="both"/>
        <w:rPr>
          <w:lang w:val="en-US"/>
        </w:rPr>
      </w:pPr>
    </w:p>
    <w:p w:rsidR="00320F88" w:rsidRPr="0016561E" w:rsidRDefault="00A46E2C" w:rsidP="0016561E">
      <w:pPr>
        <w:ind w:right="281"/>
        <w:jc w:val="both"/>
        <w:rPr>
          <w:b/>
          <w:bCs/>
          <w:sz w:val="23"/>
          <w:szCs w:val="23"/>
        </w:rPr>
      </w:pPr>
      <w:r>
        <w:rPr>
          <w:b/>
          <w:bCs/>
          <w:sz w:val="23"/>
          <w:szCs w:val="23"/>
          <w:bdr w:val="nil"/>
          <w:lang w:val="en-US"/>
        </w:rPr>
        <w:t>Bari, October 12, 2025</w:t>
      </w:r>
    </w:p>
    <w:sectPr w:rsidR="00320F88" w:rsidRPr="0016561E" w:rsidSect="00C741F3">
      <w:footerReference w:type="default" r:id="rId8"/>
      <w:headerReference w:type="first" r:id="rId9"/>
      <w:footerReference w:type="first" r:id="rId10"/>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E2C" w:rsidRDefault="00A46E2C">
      <w:r>
        <w:separator/>
      </w:r>
    </w:p>
  </w:endnote>
  <w:endnote w:type="continuationSeparator" w:id="0">
    <w:p w:rsidR="00A46E2C" w:rsidRDefault="00A4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A5" w:rsidRDefault="00A46E2C">
    <w:pPr>
      <w:pStyle w:val="Footer"/>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5208"/>
      <w:docPartObj>
        <w:docPartGallery w:val="Page Numbers (Bottom of Page)"/>
        <w:docPartUnique/>
      </w:docPartObj>
    </w:sdtPr>
    <w:sdtEndPr/>
    <w:sdtContent>
      <w:p w:rsidR="0061688F" w:rsidRDefault="00A46E2C">
        <w:pPr>
          <w:pStyle w:val="Footer"/>
          <w:jc w:val="right"/>
        </w:pPr>
        <w:r>
          <w:fldChar w:fldCharType="begin"/>
        </w:r>
        <w:r>
          <w:instrText xml:space="preserve"> PAGE   \* MERGEFORMAT </w:instrText>
        </w:r>
        <w:r>
          <w:fldChar w:fldCharType="separate"/>
        </w:r>
        <w:r w:rsidR="00161C8A">
          <w:rPr>
            <w:noProof/>
          </w:rPr>
          <w:t>1</w:t>
        </w:r>
        <w:r>
          <w:rPr>
            <w:noProof/>
          </w:rPr>
          <w:fldChar w:fldCharType="end"/>
        </w:r>
      </w:p>
    </w:sdtContent>
  </w:sdt>
  <w:p w:rsidR="002C71A5" w:rsidRDefault="002C71A5">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E2C" w:rsidRDefault="00A46E2C">
      <w:r>
        <w:separator/>
      </w:r>
    </w:p>
  </w:footnote>
  <w:footnote w:type="continuationSeparator" w:id="0">
    <w:p w:rsidR="00A46E2C" w:rsidRDefault="00A46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C65" w:rsidRPr="00663C65" w:rsidRDefault="00663C65" w:rsidP="00663C65">
    <w:pPr>
      <w:pStyle w:val="Header"/>
      <w:tabs>
        <w:tab w:val="right" w:pos="7910"/>
      </w:tabs>
      <w:jc w:val="center"/>
      <w:rPr>
        <w:noProof/>
      </w:rPr>
    </w:pPr>
  </w:p>
  <w:p w:rsidR="002C71A5" w:rsidRDefault="00A46E2C" w:rsidP="00663C65">
    <w:pPr>
      <w:pStyle w:val="Header"/>
      <w:tabs>
        <w:tab w:val="clear" w:pos="9638"/>
        <w:tab w:val="right" w:pos="7910"/>
      </w:tabs>
      <w:jc w:val="right"/>
    </w:pPr>
    <w:r>
      <w:rPr>
        <w:noProof/>
        <w:lang w:val="en-US" w:eastAsia="en-US"/>
      </w:rPr>
      <w:drawing>
        <wp:anchor distT="152400" distB="152400" distL="152400" distR="152400" simplePos="0" relativeHeight="251658240" behindDoc="1" locked="0" layoutInCell="1" allowOverlap="1">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552332045"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0F35DF"/>
    <w:rsid w:val="000F5BB8"/>
    <w:rsid w:val="00115839"/>
    <w:rsid w:val="001256FD"/>
    <w:rsid w:val="001531B0"/>
    <w:rsid w:val="00161C8A"/>
    <w:rsid w:val="00164525"/>
    <w:rsid w:val="0016561E"/>
    <w:rsid w:val="001706D9"/>
    <w:rsid w:val="00192CFA"/>
    <w:rsid w:val="0019301A"/>
    <w:rsid w:val="001942CE"/>
    <w:rsid w:val="00197395"/>
    <w:rsid w:val="001A3A4B"/>
    <w:rsid w:val="001B6DCD"/>
    <w:rsid w:val="001C47FC"/>
    <w:rsid w:val="001C7298"/>
    <w:rsid w:val="001D62D3"/>
    <w:rsid w:val="001D7871"/>
    <w:rsid w:val="001E0FC7"/>
    <w:rsid w:val="0020386C"/>
    <w:rsid w:val="00205AFD"/>
    <w:rsid w:val="00242709"/>
    <w:rsid w:val="0025485D"/>
    <w:rsid w:val="00277A8B"/>
    <w:rsid w:val="00281639"/>
    <w:rsid w:val="00281BC1"/>
    <w:rsid w:val="00291AA8"/>
    <w:rsid w:val="002A1438"/>
    <w:rsid w:val="002A41B4"/>
    <w:rsid w:val="002A5355"/>
    <w:rsid w:val="002B0BED"/>
    <w:rsid w:val="002B28DC"/>
    <w:rsid w:val="002C238F"/>
    <w:rsid w:val="002C71A5"/>
    <w:rsid w:val="00304659"/>
    <w:rsid w:val="003155D5"/>
    <w:rsid w:val="00316EFE"/>
    <w:rsid w:val="00320F88"/>
    <w:rsid w:val="00326734"/>
    <w:rsid w:val="00327D9B"/>
    <w:rsid w:val="003329C4"/>
    <w:rsid w:val="0034326A"/>
    <w:rsid w:val="0034479A"/>
    <w:rsid w:val="0035397A"/>
    <w:rsid w:val="0036022E"/>
    <w:rsid w:val="0037080C"/>
    <w:rsid w:val="003857B8"/>
    <w:rsid w:val="003900FD"/>
    <w:rsid w:val="00390A63"/>
    <w:rsid w:val="003973F3"/>
    <w:rsid w:val="003C08E9"/>
    <w:rsid w:val="003C48BA"/>
    <w:rsid w:val="003E0BDB"/>
    <w:rsid w:val="003F2927"/>
    <w:rsid w:val="003F33A4"/>
    <w:rsid w:val="0040006A"/>
    <w:rsid w:val="0040041F"/>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B267D"/>
    <w:rsid w:val="005D1418"/>
    <w:rsid w:val="005E2BDF"/>
    <w:rsid w:val="005F176C"/>
    <w:rsid w:val="005F4608"/>
    <w:rsid w:val="006063A5"/>
    <w:rsid w:val="00610B76"/>
    <w:rsid w:val="00613678"/>
    <w:rsid w:val="0061688F"/>
    <w:rsid w:val="006212B1"/>
    <w:rsid w:val="006244A7"/>
    <w:rsid w:val="006269F8"/>
    <w:rsid w:val="0063096E"/>
    <w:rsid w:val="006329F7"/>
    <w:rsid w:val="006363B2"/>
    <w:rsid w:val="006416F9"/>
    <w:rsid w:val="00653CF9"/>
    <w:rsid w:val="00663C65"/>
    <w:rsid w:val="00665780"/>
    <w:rsid w:val="00671BBB"/>
    <w:rsid w:val="006727C8"/>
    <w:rsid w:val="00683BFE"/>
    <w:rsid w:val="00691F7A"/>
    <w:rsid w:val="006A48C6"/>
    <w:rsid w:val="006A6959"/>
    <w:rsid w:val="006A6B29"/>
    <w:rsid w:val="006C6397"/>
    <w:rsid w:val="006E02F4"/>
    <w:rsid w:val="006E34D3"/>
    <w:rsid w:val="006F1D9E"/>
    <w:rsid w:val="006F7AAD"/>
    <w:rsid w:val="007032DD"/>
    <w:rsid w:val="007254DA"/>
    <w:rsid w:val="00735C19"/>
    <w:rsid w:val="0074511A"/>
    <w:rsid w:val="00755A1A"/>
    <w:rsid w:val="00766858"/>
    <w:rsid w:val="0077494C"/>
    <w:rsid w:val="007773EE"/>
    <w:rsid w:val="00785F21"/>
    <w:rsid w:val="0079055E"/>
    <w:rsid w:val="007962BA"/>
    <w:rsid w:val="007A3767"/>
    <w:rsid w:val="007B3287"/>
    <w:rsid w:val="007D4AE9"/>
    <w:rsid w:val="007E7CD5"/>
    <w:rsid w:val="007F7DD2"/>
    <w:rsid w:val="00801DE7"/>
    <w:rsid w:val="0081651A"/>
    <w:rsid w:val="00827FD7"/>
    <w:rsid w:val="00837F00"/>
    <w:rsid w:val="00840488"/>
    <w:rsid w:val="00845284"/>
    <w:rsid w:val="00846B4E"/>
    <w:rsid w:val="00854699"/>
    <w:rsid w:val="008707A8"/>
    <w:rsid w:val="008709D5"/>
    <w:rsid w:val="00871069"/>
    <w:rsid w:val="00893C33"/>
    <w:rsid w:val="008C3765"/>
    <w:rsid w:val="008D35DC"/>
    <w:rsid w:val="008D69D5"/>
    <w:rsid w:val="008E7481"/>
    <w:rsid w:val="008F0BC6"/>
    <w:rsid w:val="008F3DAE"/>
    <w:rsid w:val="0091001C"/>
    <w:rsid w:val="00911382"/>
    <w:rsid w:val="00914B29"/>
    <w:rsid w:val="00922818"/>
    <w:rsid w:val="00924C77"/>
    <w:rsid w:val="00943DF8"/>
    <w:rsid w:val="009450EE"/>
    <w:rsid w:val="00962D05"/>
    <w:rsid w:val="0098565F"/>
    <w:rsid w:val="0099276A"/>
    <w:rsid w:val="00992FF4"/>
    <w:rsid w:val="00995EBA"/>
    <w:rsid w:val="00997833"/>
    <w:rsid w:val="009A626E"/>
    <w:rsid w:val="009B43C1"/>
    <w:rsid w:val="009C2413"/>
    <w:rsid w:val="009C3946"/>
    <w:rsid w:val="009E2509"/>
    <w:rsid w:val="009E5773"/>
    <w:rsid w:val="009E6583"/>
    <w:rsid w:val="009F0A11"/>
    <w:rsid w:val="009F3DB9"/>
    <w:rsid w:val="009F4BBB"/>
    <w:rsid w:val="00A00A28"/>
    <w:rsid w:val="00A20F01"/>
    <w:rsid w:val="00A33E6C"/>
    <w:rsid w:val="00A401D8"/>
    <w:rsid w:val="00A46E2C"/>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7A6E"/>
    <w:rsid w:val="00C47C0F"/>
    <w:rsid w:val="00C61C96"/>
    <w:rsid w:val="00C7026F"/>
    <w:rsid w:val="00C73920"/>
    <w:rsid w:val="00C741F3"/>
    <w:rsid w:val="00C843E4"/>
    <w:rsid w:val="00CA4041"/>
    <w:rsid w:val="00CA4E18"/>
    <w:rsid w:val="00CA589B"/>
    <w:rsid w:val="00CA78B3"/>
    <w:rsid w:val="00CB3E1B"/>
    <w:rsid w:val="00CC4A7B"/>
    <w:rsid w:val="00CE1F3A"/>
    <w:rsid w:val="00CE43CC"/>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6705A"/>
    <w:rsid w:val="00E81FB8"/>
    <w:rsid w:val="00E871FF"/>
    <w:rsid w:val="00E876C2"/>
    <w:rsid w:val="00E97757"/>
    <w:rsid w:val="00EB3B49"/>
    <w:rsid w:val="00ED4731"/>
    <w:rsid w:val="00ED47E2"/>
    <w:rsid w:val="00EE1928"/>
    <w:rsid w:val="00F31D94"/>
    <w:rsid w:val="00F3518B"/>
    <w:rsid w:val="00F375DA"/>
    <w:rsid w:val="00F75277"/>
    <w:rsid w:val="00F84C6E"/>
    <w:rsid w:val="00F87412"/>
    <w:rsid w:val="00F87AB6"/>
    <w:rsid w:val="00FB20B7"/>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00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006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 w:type="character" w:customStyle="1" w:styleId="Heading2Char">
    <w:name w:val="Heading 2 Char"/>
    <w:basedOn w:val="DefaultParagraphFont"/>
    <w:link w:val="Heading2"/>
    <w:uiPriority w:val="9"/>
    <w:semiHidden/>
    <w:rsid w:val="0040006A"/>
    <w:rPr>
      <w:rFonts w:asciiTheme="majorHAnsi" w:eastAsiaTheme="majorEastAsia" w:hAnsiTheme="majorHAnsi" w:cstheme="majorBidi"/>
      <w:color w:val="365F91" w:themeColor="accent1" w:themeShade="BF"/>
      <w:sz w:val="26"/>
      <w:szCs w:val="26"/>
      <w:bdr w:val="none" w:sz="0" w:space="0" w:color="auto"/>
    </w:rPr>
  </w:style>
  <w:style w:type="character" w:customStyle="1" w:styleId="Heading3Char">
    <w:name w:val="Heading 3 Char"/>
    <w:basedOn w:val="DefaultParagraphFont"/>
    <w:link w:val="Heading3"/>
    <w:uiPriority w:val="9"/>
    <w:semiHidden/>
    <w:rsid w:val="0040006A"/>
    <w:rPr>
      <w:rFonts w:asciiTheme="majorHAnsi" w:eastAsiaTheme="majorEastAsia" w:hAnsiTheme="majorHAnsi" w:cstheme="majorBidi"/>
      <w:color w:val="243F60" w:themeColor="accent1" w:themeShade="7F"/>
      <w:sz w:val="24"/>
      <w:szCs w:val="24"/>
      <w:bdr w:val="none" w:sz="0" w:space="0" w:color="auto"/>
    </w:rPr>
  </w:style>
  <w:style w:type="character" w:customStyle="1" w:styleId="UnresolvedMention">
    <w:name w:val="Unresolved Mention"/>
    <w:basedOn w:val="DefaultParagraphFont"/>
    <w:uiPriority w:val="99"/>
    <w:semiHidden/>
    <w:unhideWhenUsed/>
    <w:rsid w:val="007254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00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006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 w:type="character" w:customStyle="1" w:styleId="Heading2Char">
    <w:name w:val="Heading 2 Char"/>
    <w:basedOn w:val="DefaultParagraphFont"/>
    <w:link w:val="Heading2"/>
    <w:uiPriority w:val="9"/>
    <w:semiHidden/>
    <w:rsid w:val="0040006A"/>
    <w:rPr>
      <w:rFonts w:asciiTheme="majorHAnsi" w:eastAsiaTheme="majorEastAsia" w:hAnsiTheme="majorHAnsi" w:cstheme="majorBidi"/>
      <w:color w:val="365F91" w:themeColor="accent1" w:themeShade="BF"/>
      <w:sz w:val="26"/>
      <w:szCs w:val="26"/>
      <w:bdr w:val="none" w:sz="0" w:space="0" w:color="auto"/>
    </w:rPr>
  </w:style>
  <w:style w:type="character" w:customStyle="1" w:styleId="Heading3Char">
    <w:name w:val="Heading 3 Char"/>
    <w:basedOn w:val="DefaultParagraphFont"/>
    <w:link w:val="Heading3"/>
    <w:uiPriority w:val="9"/>
    <w:semiHidden/>
    <w:rsid w:val="0040006A"/>
    <w:rPr>
      <w:rFonts w:asciiTheme="majorHAnsi" w:eastAsiaTheme="majorEastAsia" w:hAnsiTheme="majorHAnsi" w:cstheme="majorBidi"/>
      <w:color w:val="243F60" w:themeColor="accent1" w:themeShade="7F"/>
      <w:sz w:val="24"/>
      <w:szCs w:val="24"/>
      <w:bdr w:val="none" w:sz="0" w:space="0" w:color="auto"/>
    </w:rPr>
  </w:style>
  <w:style w:type="character" w:customStyle="1" w:styleId="UnresolvedMention">
    <w:name w:val="Unresolved Mention"/>
    <w:basedOn w:val="DefaultParagraphFont"/>
    <w:uiPriority w:val="99"/>
    <w:semiHidden/>
    <w:unhideWhenUsed/>
    <w:rsid w:val="007254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grilevante.eu/it/concorso-novita-tecniche-agrilevante.php"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Utente</cp:lastModifiedBy>
  <cp:revision>4</cp:revision>
  <cp:lastPrinted>2025-03-03T10:56:00Z</cp:lastPrinted>
  <dcterms:created xsi:type="dcterms:W3CDTF">2025-10-12T10:42:00Z</dcterms:created>
  <dcterms:modified xsi:type="dcterms:W3CDTF">2025-10-13T08:11:00Z</dcterms:modified>
</cp:coreProperties>
</file>