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634E55" w:rsidRDefault="00CA641C" w:rsidP="005A3579">
      <w:pPr>
        <w:tabs>
          <w:tab w:val="right" w:pos="7910"/>
          <w:tab w:val="left" w:pos="8080"/>
        </w:tabs>
        <w:ind w:right="281"/>
        <w:jc w:val="both"/>
        <w:rPr>
          <w:rStyle w:val="Nessuno"/>
          <w:i/>
          <w:iCs/>
          <w:lang w:val="en-US"/>
        </w:rPr>
      </w:pPr>
      <w:r>
        <w:rPr>
          <w:rStyle w:val="Nessuno"/>
          <w:i/>
          <w:iCs/>
          <w:sz w:val="20"/>
          <w:szCs w:val="20"/>
          <w:bdr w:val="nil"/>
          <w:lang w:val="en-US"/>
        </w:rPr>
        <w:t>Press release no. 29/2025</w:t>
      </w:r>
    </w:p>
    <w:p w:rsidR="002A5355" w:rsidRPr="00634E55" w:rsidRDefault="002A5355" w:rsidP="005A3579">
      <w:pPr>
        <w:tabs>
          <w:tab w:val="right" w:pos="7910"/>
          <w:tab w:val="left" w:pos="8080"/>
        </w:tabs>
        <w:ind w:right="281"/>
        <w:jc w:val="both"/>
        <w:rPr>
          <w:i/>
          <w:iCs/>
          <w:sz w:val="10"/>
          <w:szCs w:val="10"/>
          <w:lang w:val="en-US"/>
        </w:rPr>
      </w:pPr>
    </w:p>
    <w:p w:rsidR="006E7CB0" w:rsidRPr="00634E55" w:rsidRDefault="00CA641C" w:rsidP="006E7CB0">
      <w:pPr>
        <w:spacing w:after="160" w:line="278" w:lineRule="auto"/>
        <w:jc w:val="both"/>
        <w:rPr>
          <w:rFonts w:eastAsia="Aptos"/>
          <w:b/>
          <w:bCs/>
          <w:kern w:val="2"/>
          <w:sz w:val="28"/>
          <w:szCs w:val="28"/>
          <w:lang w:val="en-US" w:eastAsia="en-US"/>
          <w14:ligatures w14:val="standardContextual"/>
        </w:rPr>
      </w:pPr>
      <w:bookmarkStart w:id="0" w:name="_63jyd8dvb03v"/>
      <w:bookmarkEnd w:id="0"/>
      <w:r>
        <w:rPr>
          <w:b/>
          <w:bCs/>
          <w:kern w:val="2"/>
          <w:sz w:val="28"/>
          <w:szCs w:val="28"/>
          <w:bdr w:val="nil"/>
          <w:lang w:val="en-US" w:eastAsia="en-US"/>
        </w:rPr>
        <w:t>Agricultural machinery: technologies and projects for workplace safety</w:t>
      </w:r>
    </w:p>
    <w:p w:rsidR="006E7CB0" w:rsidRPr="00634E55" w:rsidRDefault="00CA641C" w:rsidP="006E7CB0">
      <w:pPr>
        <w:spacing w:after="160" w:line="278" w:lineRule="auto"/>
        <w:jc w:val="both"/>
        <w:rPr>
          <w:rFonts w:eastAsia="Aptos"/>
          <w:b/>
          <w:bCs/>
          <w:i/>
          <w:iCs/>
          <w:kern w:val="2"/>
          <w:lang w:val="en-US" w:eastAsia="en-US"/>
          <w14:ligatures w14:val="standardContextual"/>
        </w:rPr>
      </w:pPr>
      <w:proofErr w:type="spellStart"/>
      <w:r>
        <w:rPr>
          <w:b/>
          <w:bCs/>
          <w:i/>
          <w:iCs/>
          <w:kern w:val="2"/>
          <w:bdr w:val="nil"/>
          <w:lang w:val="en-US" w:eastAsia="en-US"/>
        </w:rPr>
        <w:t>Agrilevante</w:t>
      </w:r>
      <w:proofErr w:type="spellEnd"/>
      <w:r>
        <w:rPr>
          <w:b/>
          <w:bCs/>
          <w:i/>
          <w:iCs/>
          <w:kern w:val="2"/>
          <w:bdr w:val="nil"/>
          <w:lang w:val="en-US" w:eastAsia="en-US"/>
        </w:rPr>
        <w:t xml:space="preserve"> is known for its numerous awareness-raising and information initiatives regarding workplace safety, with particular reference to the use of agricultural machinery. </w:t>
      </w:r>
      <w:r>
        <w:rPr>
          <w:b/>
          <w:bCs/>
          <w:i/>
          <w:iCs/>
          <w:kern w:val="2"/>
          <w:bdr w:val="nil"/>
          <w:lang w:val="en-US" w:eastAsia="en-US"/>
        </w:rPr>
        <w:t xml:space="preserve">The Apulia Region and the Local Health Authorities of Bari and Taranto, as well as INAIL, have been particularly active, while specific initiatives have been aimed at young people. The experience of a tractor overturning is very instructive, made possible </w:t>
      </w:r>
      <w:r>
        <w:rPr>
          <w:b/>
          <w:bCs/>
          <w:i/>
          <w:iCs/>
          <w:kern w:val="2"/>
          <w:bdr w:val="nil"/>
          <w:lang w:val="en-US" w:eastAsia="en-US"/>
        </w:rPr>
        <w:t>thanks to a simulator that reproduces the driver's cabin and the physical movement of the mechanical vehicle in the event of an accident.</w:t>
      </w:r>
    </w:p>
    <w:p w:rsidR="006E7CB0" w:rsidRPr="00634E55" w:rsidRDefault="00CA641C" w:rsidP="006E7CB0">
      <w:pPr>
        <w:spacing w:after="160" w:line="278" w:lineRule="auto"/>
        <w:jc w:val="both"/>
        <w:rPr>
          <w:rFonts w:eastAsia="Aptos"/>
          <w:kern w:val="2"/>
          <w:lang w:val="en-US" w:eastAsia="en-US"/>
          <w14:ligatures w14:val="standardContextual"/>
        </w:rPr>
      </w:pPr>
      <w:r>
        <w:rPr>
          <w:kern w:val="2"/>
          <w:bdr w:val="nil"/>
          <w:lang w:val="en-US" w:eastAsia="en-US"/>
        </w:rPr>
        <w:t>INAIL data reveals that approximately 2</w:t>
      </w:r>
      <w:r>
        <w:rPr>
          <w:kern w:val="2"/>
          <w:bdr w:val="nil"/>
          <w:lang w:val="en-US" w:eastAsia="en-US"/>
        </w:rPr>
        <w:t xml:space="preserve">00 agricultural workers lose their lives each year in accidents related to farm activities. To promote prevention and a culture of safety, during </w:t>
      </w:r>
      <w:proofErr w:type="spellStart"/>
      <w:r>
        <w:rPr>
          <w:kern w:val="2"/>
          <w:bdr w:val="nil"/>
          <w:lang w:val="en-US" w:eastAsia="en-US"/>
        </w:rPr>
        <w:t>Agrilevante</w:t>
      </w:r>
      <w:proofErr w:type="spellEnd"/>
      <w:r>
        <w:rPr>
          <w:kern w:val="2"/>
          <w:bdr w:val="nil"/>
          <w:lang w:val="en-US" w:eastAsia="en-US"/>
        </w:rPr>
        <w:t>, the Apulia Region, through the Local Health Authority's Workplace Prevention and Safety Services,</w:t>
      </w:r>
      <w:r>
        <w:rPr>
          <w:kern w:val="2"/>
          <w:bdr w:val="nil"/>
          <w:lang w:val="en-US" w:eastAsia="en-US"/>
        </w:rPr>
        <w:t xml:space="preserve"> in collaboration with INAIL and </w:t>
      </w:r>
      <w:proofErr w:type="spellStart"/>
      <w:r>
        <w:rPr>
          <w:kern w:val="2"/>
          <w:bdr w:val="nil"/>
          <w:lang w:val="en-US" w:eastAsia="en-US"/>
        </w:rPr>
        <w:t>FederUnacoma</w:t>
      </w:r>
      <w:proofErr w:type="spellEnd"/>
      <w:r>
        <w:rPr>
          <w:kern w:val="2"/>
          <w:bdr w:val="nil"/>
          <w:lang w:val="en-US" w:eastAsia="en-US"/>
        </w:rPr>
        <w:t>, has planned a series of initiatives to promote occupational health and safety in agriculture, with particular attention to issues related to the use of machinery and equipment. Training days for doctors and pr</w:t>
      </w:r>
      <w:r>
        <w:rPr>
          <w:kern w:val="2"/>
          <w:bdr w:val="nil"/>
          <w:lang w:val="en-US" w:eastAsia="en-US"/>
        </w:rPr>
        <w:t>evention technicians were held on Thursday the 9th and Friday the 10th, to update them on issues specifically related to the use of agricultural machinery and on the safety devices to be installed on mechanical vehicles. During a special meeting, Giorgio D</w:t>
      </w:r>
      <w:r>
        <w:rPr>
          <w:kern w:val="2"/>
          <w:bdr w:val="nil"/>
          <w:lang w:val="en-US" w:eastAsia="en-US"/>
        </w:rPr>
        <w:t>i Leone, Coordinator of Workplace Prevention and Safety Services (SPESAL) at the Bari Local Health Authority, informed agricultural companies about the new preventive approach adopted by healthcare companies under the Targeted Prevention Plans. These plans</w:t>
      </w:r>
      <w:r>
        <w:rPr>
          <w:kern w:val="2"/>
          <w:bdr w:val="nil"/>
          <w:lang w:val="en-US" w:eastAsia="en-US"/>
        </w:rPr>
        <w:t xml:space="preserve"> help them, through information, training, and assistance </w:t>
      </w:r>
      <w:proofErr w:type="gramStart"/>
      <w:r>
        <w:rPr>
          <w:kern w:val="2"/>
          <w:bdr w:val="nil"/>
          <w:lang w:val="en-US" w:eastAsia="en-US"/>
        </w:rPr>
        <w:t>initiatives,</w:t>
      </w:r>
      <w:proofErr w:type="gramEnd"/>
      <w:r>
        <w:rPr>
          <w:kern w:val="2"/>
          <w:bdr w:val="nil"/>
          <w:lang w:val="en-US" w:eastAsia="en-US"/>
        </w:rPr>
        <w:t xml:space="preserve"> overcome critical issues, relegating pure surveillance activities to a final phase and on a limited sample of companies. Several conferences have been organized, again at the initiative</w:t>
      </w:r>
      <w:r>
        <w:rPr>
          <w:kern w:val="2"/>
          <w:bdr w:val="nil"/>
          <w:lang w:val="en-US" w:eastAsia="en-US"/>
        </w:rPr>
        <w:t xml:space="preserve"> of the Bari Local Health Authority, INAIL, and </w:t>
      </w:r>
      <w:proofErr w:type="spellStart"/>
      <w:r>
        <w:rPr>
          <w:kern w:val="2"/>
          <w:bdr w:val="nil"/>
          <w:lang w:val="en-US" w:eastAsia="en-US"/>
        </w:rPr>
        <w:t>FederUnacoma</w:t>
      </w:r>
      <w:proofErr w:type="spellEnd"/>
      <w:r>
        <w:rPr>
          <w:kern w:val="2"/>
          <w:bdr w:val="nil"/>
          <w:lang w:val="en-US" w:eastAsia="en-US"/>
        </w:rPr>
        <w:t>, to stimulate discussion among agricultural workers, agricultural experts, and agronomists. The focus has been on the obsolescence of Italy's machinery fleet, which features a high number of vehi</w:t>
      </w:r>
      <w:r>
        <w:rPr>
          <w:kern w:val="2"/>
          <w:bdr w:val="nil"/>
          <w:lang w:val="en-US" w:eastAsia="en-US"/>
        </w:rPr>
        <w:t>cles over 40 years old, often lacking the necessary safety devices, and the widespread buying and selling of used machinery (nearly 60,000 tractors per year). Regarding INAIL's activities, Leonardo Vita of the Institute's Research Sector Department describ</w:t>
      </w:r>
      <w:r>
        <w:rPr>
          <w:kern w:val="2"/>
          <w:bdr w:val="nil"/>
          <w:lang w:val="en-US" w:eastAsia="en-US"/>
        </w:rPr>
        <w:t>ed the testing of innovative techniques applied to rollover protection structures, to allow work to be carried out under tree canopies in safe conditions. Research is also underway aimed at applying obstacle detection devices based on the use of artificial</w:t>
      </w:r>
      <w:r>
        <w:rPr>
          <w:kern w:val="2"/>
          <w:bdr w:val="nil"/>
          <w:lang w:val="en-US" w:eastAsia="en-US"/>
        </w:rPr>
        <w:t xml:space="preserve"> intelligence. But the safety awareness campaign targeted not only agricultural workers but also young people, who might choose to work in agriculture in the future. The Bari Local Health Authority (ASL) organized informational meetings with students from </w:t>
      </w:r>
      <w:r>
        <w:rPr>
          <w:kern w:val="2"/>
          <w:bdr w:val="nil"/>
          <w:lang w:val="en-US" w:eastAsia="en-US"/>
        </w:rPr>
        <w:t>agricultural institutes, through staff from the Apulia Region's SPESAL (Specialized Health Services). On Friday, Agriculture Minister Francesco Lollobrigida himself spoke at the outreach event to emphasize the importance of safety and encourage students to</w:t>
      </w:r>
      <w:r>
        <w:rPr>
          <w:kern w:val="2"/>
          <w:bdr w:val="nil"/>
          <w:lang w:val="en-US" w:eastAsia="en-US"/>
        </w:rPr>
        <w:t xml:space="preserve"> plan their future in agriculture. Thanks </w:t>
      </w:r>
      <w:r>
        <w:rPr>
          <w:kern w:val="2"/>
          <w:bdr w:val="nil"/>
          <w:lang w:val="en-US" w:eastAsia="en-US"/>
        </w:rPr>
        <w:lastRenderedPageBreak/>
        <w:t>to the contribution of the Interregional Agricultural Technical Group and the Lombardy Region, the Extend Area hosted a tractor rollover simulator throughout the entire Trade Fair. Visitors to the event, and especi</w:t>
      </w:r>
      <w:r>
        <w:rPr>
          <w:kern w:val="2"/>
          <w:bdr w:val="nil"/>
          <w:lang w:val="en-US" w:eastAsia="en-US"/>
        </w:rPr>
        <w:t xml:space="preserve">ally groups of young people from agricultural schools, experienced firsthand what happens </w:t>
      </w:r>
      <w:r w:rsidR="00634E55">
        <w:rPr>
          <w:kern w:val="2"/>
          <w:bdr w:val="nil"/>
          <w:lang w:val="en-US" w:eastAsia="en-US"/>
        </w:rPr>
        <w:t>when a tractor overturns, in or</w:t>
      </w:r>
      <w:bookmarkStart w:id="1" w:name="_GoBack"/>
      <w:bookmarkEnd w:id="1"/>
      <w:r>
        <w:rPr>
          <w:kern w:val="2"/>
          <w:bdr w:val="nil"/>
          <w:lang w:val="en-US" w:eastAsia="en-US"/>
        </w:rPr>
        <w:t>der to better understand the importance of safety devices when driving these vehicles. As part of the Regional Prevention Plan, the Ta</w:t>
      </w:r>
      <w:r>
        <w:rPr>
          <w:kern w:val="2"/>
          <w:bdr w:val="nil"/>
          <w:lang w:val="en-US" w:eastAsia="en-US"/>
        </w:rPr>
        <w:t>ranto Local Health Authority (ASL) sponsored a major public health initiative, bringing to the fair a Mobile Healthcare Unit (equipped medical campers) to provide cardiovascular screening services, cardiac risk mapping, and to raise awareness among visitor</w:t>
      </w:r>
      <w:r>
        <w:rPr>
          <w:kern w:val="2"/>
          <w:bdr w:val="nil"/>
          <w:lang w:val="en-US" w:eastAsia="en-US"/>
        </w:rPr>
        <w:t>s about the importance of prevention in the workplace.</w:t>
      </w:r>
    </w:p>
    <w:p w:rsidR="007254DA" w:rsidRPr="00634E55" w:rsidRDefault="007254DA" w:rsidP="00613678">
      <w:pPr>
        <w:jc w:val="both"/>
        <w:rPr>
          <w:lang w:val="en-US"/>
        </w:rPr>
      </w:pPr>
    </w:p>
    <w:p w:rsidR="00320F88" w:rsidRPr="0016561E" w:rsidRDefault="00CA641C" w:rsidP="0016561E">
      <w:pPr>
        <w:ind w:right="281"/>
        <w:jc w:val="both"/>
        <w:rPr>
          <w:b/>
          <w:bCs/>
          <w:sz w:val="23"/>
          <w:szCs w:val="23"/>
        </w:rPr>
      </w:pPr>
      <w:r>
        <w:rPr>
          <w:b/>
          <w:bCs/>
          <w:sz w:val="23"/>
          <w:szCs w:val="23"/>
          <w:bdr w:val="nil"/>
          <w:lang w:val="en-US"/>
        </w:rPr>
        <w:t>Bari, October 12,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1C" w:rsidRDefault="00CA641C">
      <w:r>
        <w:separator/>
      </w:r>
    </w:p>
  </w:endnote>
  <w:endnote w:type="continuationSeparator" w:id="0">
    <w:p w:rsidR="00CA641C" w:rsidRDefault="00CA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CA641C">
    <w:pPr>
      <w:pStyle w:val="Footer"/>
      <w:tabs>
        <w:tab w:val="clear" w:pos="9638"/>
        <w:tab w:val="right" w:pos="7910"/>
      </w:tabs>
      <w:jc w:val="right"/>
    </w:pPr>
    <w:r>
      <w:fldChar w:fldCharType="begin"/>
    </w:r>
    <w:r w:rsidR="00C07EC8">
      <w:instrText xml:space="preserve"> PAGE </w:instrText>
    </w:r>
    <w:r>
      <w:fldChar w:fldCharType="separate"/>
    </w:r>
    <w:r w:rsidR="00634E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CA641C">
        <w:pPr>
          <w:pStyle w:val="Footer"/>
          <w:jc w:val="right"/>
        </w:pPr>
        <w:r>
          <w:fldChar w:fldCharType="begin"/>
        </w:r>
        <w:r>
          <w:instrText xml:space="preserve"> PAGE   \* MERGEFORMAT </w:instrText>
        </w:r>
        <w:r>
          <w:fldChar w:fldCharType="separate"/>
        </w:r>
        <w:r w:rsidR="00634E55">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1C" w:rsidRDefault="00CA641C">
      <w:r>
        <w:separator/>
      </w:r>
    </w:p>
  </w:footnote>
  <w:footnote w:type="continuationSeparator" w:id="0">
    <w:p w:rsidR="00CA641C" w:rsidRDefault="00CA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CA641C"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27641087"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4E55"/>
    <w:rsid w:val="006363B2"/>
    <w:rsid w:val="006416F9"/>
    <w:rsid w:val="00653CF9"/>
    <w:rsid w:val="00663C65"/>
    <w:rsid w:val="00665780"/>
    <w:rsid w:val="00671BBB"/>
    <w:rsid w:val="006727C8"/>
    <w:rsid w:val="00683BFE"/>
    <w:rsid w:val="00691F7A"/>
    <w:rsid w:val="006A1AA9"/>
    <w:rsid w:val="006A48C6"/>
    <w:rsid w:val="006A6959"/>
    <w:rsid w:val="006A6B29"/>
    <w:rsid w:val="006C6397"/>
    <w:rsid w:val="006E02F4"/>
    <w:rsid w:val="006E34D3"/>
    <w:rsid w:val="006E7CB0"/>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2C36"/>
    <w:rsid w:val="00C47C0F"/>
    <w:rsid w:val="00C61C96"/>
    <w:rsid w:val="00C7026F"/>
    <w:rsid w:val="00C73920"/>
    <w:rsid w:val="00C741F3"/>
    <w:rsid w:val="00C843E4"/>
    <w:rsid w:val="00CA4041"/>
    <w:rsid w:val="00CA4E18"/>
    <w:rsid w:val="00CA589B"/>
    <w:rsid w:val="00CA641C"/>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51AF"/>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614</Words>
  <Characters>3502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7</cp:revision>
  <cp:lastPrinted>2025-03-03T10:56:00Z</cp:lastPrinted>
  <dcterms:created xsi:type="dcterms:W3CDTF">2025-10-12T14:32:00Z</dcterms:created>
  <dcterms:modified xsi:type="dcterms:W3CDTF">2025-10-13T08:17:00Z</dcterms:modified>
</cp:coreProperties>
</file>