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20C" w:rsidRPr="002A6EB0" w:rsidRDefault="00823AF7" w:rsidP="0001720C">
      <w:pPr>
        <w:pStyle w:val="Default"/>
        <w:ind w:left="4320" w:firstLine="720"/>
        <w:rPr>
          <w:rFonts w:ascii="Verdana" w:hAnsi="Verdana" w:cs="Arial"/>
          <w:b/>
          <w:bCs/>
          <w:sz w:val="32"/>
          <w:szCs w:val="32"/>
        </w:rPr>
      </w:pPr>
      <w:r>
        <w:rPr>
          <w:rFonts w:ascii="Verdana" w:hAnsi="Verdana" w:cs="Arial"/>
          <w:b/>
          <w:bCs/>
          <w:sz w:val="32"/>
          <w:szCs w:val="32"/>
        </w:rPr>
        <w:t>Comunicato stampa</w:t>
      </w:r>
    </w:p>
    <w:p w:rsidR="0001720C" w:rsidRPr="002A6EB0" w:rsidRDefault="0001720C" w:rsidP="0001720C">
      <w:pPr>
        <w:pStyle w:val="Default"/>
        <w:spacing w:line="360" w:lineRule="auto"/>
        <w:rPr>
          <w:rFonts w:ascii="Verdana" w:hAnsi="Verdana" w:cs="Arial"/>
          <w:bCs/>
          <w:sz w:val="22"/>
          <w:szCs w:val="22"/>
        </w:rPr>
      </w:pPr>
    </w:p>
    <w:p w:rsidR="007B36B3" w:rsidRDefault="007B36B3" w:rsidP="007B36B3">
      <w:pPr>
        <w:pStyle w:val="Default"/>
        <w:jc w:val="both"/>
        <w:rPr>
          <w:rFonts w:ascii="Verdana" w:hAnsi="Verdana"/>
          <w:b/>
          <w:bCs/>
          <w:color w:val="auto"/>
          <w:sz w:val="22"/>
          <w:szCs w:val="22"/>
        </w:rPr>
      </w:pPr>
      <w:r w:rsidRPr="007B36B3">
        <w:rPr>
          <w:rFonts w:ascii="Verdana" w:hAnsi="Verdana"/>
          <w:b/>
          <w:bCs/>
          <w:color w:val="auto"/>
          <w:sz w:val="22"/>
          <w:szCs w:val="22"/>
        </w:rPr>
        <w:t>Deere dichiara profitti per 1,135 miliardi di dollari per il secondo trimestre 2019</w:t>
      </w:r>
    </w:p>
    <w:p w:rsidR="007B36B3" w:rsidRDefault="007B36B3" w:rsidP="007B36B3">
      <w:pPr>
        <w:pStyle w:val="Default"/>
        <w:jc w:val="both"/>
        <w:rPr>
          <w:rFonts w:ascii="Verdana" w:hAnsi="Verdana"/>
          <w:b/>
          <w:bCs/>
          <w:color w:val="auto"/>
          <w:sz w:val="22"/>
          <w:szCs w:val="22"/>
        </w:rPr>
      </w:pPr>
    </w:p>
    <w:p w:rsidR="007B36B3" w:rsidRPr="001F106D" w:rsidRDefault="007B36B3" w:rsidP="007B36B3">
      <w:pPr>
        <w:jc w:val="both"/>
        <w:rPr>
          <w:rFonts w:ascii="Verdana" w:hAnsi="Verdana" w:cstheme="minorHAnsi"/>
          <w:b/>
          <w:color w:val="000000"/>
          <w:sz w:val="32"/>
          <w:szCs w:val="32"/>
        </w:rPr>
      </w:pPr>
      <w:r w:rsidRPr="001F106D">
        <w:rPr>
          <w:rFonts w:ascii="Verdana" w:hAnsi="Verdana" w:cstheme="minorHAnsi"/>
          <w:b/>
          <w:color w:val="000000"/>
          <w:sz w:val="32"/>
          <w:szCs w:val="32"/>
        </w:rPr>
        <w:t>Deere &amp; Company: il 2019</w:t>
      </w:r>
      <w:r>
        <w:rPr>
          <w:rFonts w:ascii="Verdana" w:hAnsi="Verdana" w:cstheme="minorHAnsi"/>
          <w:b/>
          <w:color w:val="000000"/>
          <w:sz w:val="32"/>
          <w:szCs w:val="32"/>
        </w:rPr>
        <w:t xml:space="preserve"> continua a crescere</w:t>
      </w:r>
      <w:r w:rsidRPr="001F106D">
        <w:rPr>
          <w:rFonts w:ascii="Verdana" w:hAnsi="Verdana" w:cstheme="minorHAnsi"/>
          <w:b/>
          <w:color w:val="000000"/>
          <w:sz w:val="32"/>
          <w:szCs w:val="32"/>
        </w:rPr>
        <w:t xml:space="preserve"> </w:t>
      </w:r>
    </w:p>
    <w:p w:rsidR="007B36B3" w:rsidRPr="007B36B3" w:rsidRDefault="007B36B3" w:rsidP="007B36B3">
      <w:pPr>
        <w:pStyle w:val="Default"/>
        <w:jc w:val="both"/>
        <w:rPr>
          <w:rFonts w:ascii="Verdana" w:hAnsi="Verdana"/>
          <w:b/>
          <w:bCs/>
          <w:color w:val="auto"/>
          <w:sz w:val="22"/>
          <w:szCs w:val="22"/>
        </w:rPr>
      </w:pPr>
    </w:p>
    <w:p w:rsidR="007B36B3" w:rsidRPr="007B36B3" w:rsidRDefault="007B36B3" w:rsidP="007B36B3">
      <w:pPr>
        <w:pStyle w:val="Default"/>
        <w:jc w:val="both"/>
        <w:rPr>
          <w:rFonts w:ascii="Verdana" w:hAnsi="Verdana"/>
          <w:color w:val="auto"/>
          <w:sz w:val="22"/>
          <w:szCs w:val="22"/>
        </w:rPr>
      </w:pPr>
      <w:r w:rsidRPr="007B36B3">
        <w:rPr>
          <w:rFonts w:ascii="Verdana" w:hAnsi="Verdana"/>
          <w:color w:val="auto"/>
          <w:sz w:val="22"/>
          <w:szCs w:val="22"/>
        </w:rPr>
        <w:t xml:space="preserve">- Le vendite nette per il trimestre crescono del 5% raggiungendo i 10,3 miliardi di dollari </w:t>
      </w:r>
    </w:p>
    <w:p w:rsidR="007B36B3" w:rsidRPr="007B36B3" w:rsidRDefault="007B36B3" w:rsidP="007B36B3">
      <w:pPr>
        <w:pStyle w:val="Default"/>
        <w:jc w:val="both"/>
        <w:rPr>
          <w:rFonts w:ascii="Verdana" w:hAnsi="Verdana"/>
          <w:color w:val="auto"/>
          <w:sz w:val="22"/>
          <w:szCs w:val="22"/>
        </w:rPr>
      </w:pPr>
      <w:r w:rsidRPr="007B36B3">
        <w:rPr>
          <w:rFonts w:ascii="Verdana" w:hAnsi="Verdana"/>
          <w:color w:val="auto"/>
          <w:sz w:val="22"/>
          <w:szCs w:val="22"/>
        </w:rPr>
        <w:t>- Le vendite e gli utili delle divisioni Construction e Forestale registrano una forte crescita</w:t>
      </w:r>
    </w:p>
    <w:p w:rsidR="007B36B3" w:rsidRPr="007B36B3" w:rsidRDefault="007B36B3" w:rsidP="007B36B3">
      <w:pPr>
        <w:pStyle w:val="Default"/>
        <w:jc w:val="both"/>
        <w:rPr>
          <w:rFonts w:ascii="Verdana" w:hAnsi="Verdana"/>
          <w:color w:val="auto"/>
          <w:sz w:val="22"/>
          <w:szCs w:val="22"/>
        </w:rPr>
      </w:pPr>
      <w:r w:rsidRPr="007B36B3">
        <w:rPr>
          <w:rFonts w:ascii="Verdana" w:hAnsi="Verdana"/>
          <w:color w:val="auto"/>
          <w:sz w:val="22"/>
          <w:szCs w:val="22"/>
        </w:rPr>
        <w:t xml:space="preserve">- Le persistenti incertezze dei mercati agricoli incidono sulle previsioni </w:t>
      </w:r>
    </w:p>
    <w:p w:rsidR="007B36B3" w:rsidRPr="007B36B3" w:rsidRDefault="007B36B3" w:rsidP="007B36B3">
      <w:pPr>
        <w:pStyle w:val="Default"/>
        <w:jc w:val="both"/>
        <w:rPr>
          <w:rFonts w:ascii="Verdana" w:hAnsi="Verdana"/>
          <w:color w:val="auto"/>
          <w:sz w:val="22"/>
          <w:szCs w:val="22"/>
        </w:rPr>
      </w:pPr>
      <w:r w:rsidRPr="007B36B3">
        <w:rPr>
          <w:rFonts w:ascii="Verdana" w:hAnsi="Verdana"/>
          <w:color w:val="auto"/>
          <w:sz w:val="22"/>
          <w:szCs w:val="22"/>
        </w:rPr>
        <w:t xml:space="preserve">- Le previsioni su base annua vengono riviste a 3,3 miliardi di dollari grazie a una crescita delle vendite del 5%. </w:t>
      </w:r>
    </w:p>
    <w:p w:rsidR="007B36B3" w:rsidRPr="007B36B3" w:rsidRDefault="007B36B3" w:rsidP="007B36B3">
      <w:pPr>
        <w:pStyle w:val="Default"/>
        <w:jc w:val="both"/>
        <w:rPr>
          <w:rFonts w:ascii="Verdana" w:hAnsi="Verdana"/>
          <w:color w:val="auto"/>
          <w:sz w:val="22"/>
          <w:szCs w:val="22"/>
        </w:rPr>
      </w:pPr>
    </w:p>
    <w:p w:rsidR="007B36B3" w:rsidRPr="007B36B3" w:rsidRDefault="007B36B3" w:rsidP="007B36B3">
      <w:pPr>
        <w:pStyle w:val="Default"/>
        <w:jc w:val="both"/>
        <w:rPr>
          <w:rFonts w:ascii="Verdana" w:hAnsi="Verdana"/>
          <w:color w:val="auto"/>
          <w:sz w:val="22"/>
          <w:szCs w:val="22"/>
        </w:rPr>
      </w:pPr>
      <w:r w:rsidRPr="007B36B3">
        <w:rPr>
          <w:rFonts w:ascii="Verdana" w:hAnsi="Verdana"/>
          <w:color w:val="auto"/>
          <w:sz w:val="22"/>
          <w:szCs w:val="22"/>
        </w:rPr>
        <w:t>Deere &amp; Company ha totalizzato nel secondo trimestre 2019, conclusosi il 28 aprile 2019, un utile netto di 1.135 miliardi di dollari, corrispondenti a 3,52 dollari per azione, rispetto ai 1,208 miliardi di dollari, equivalenti a 3,67 dollari per azione, registrati nel secondo trimestre 2018 conclusosi il 29 aprile dello scorso anno. Per i primi sei mesi dell'anno fiscale l'utile netto di Deere &amp; Company è stato di 1,633 miliardi di dollari, corrispondenti a 5,07 dollari per azione, rispetto ai 673,2 milioni (2,05 dollari per azione) dell'equivalente periodo 2018.</w:t>
      </w:r>
    </w:p>
    <w:p w:rsidR="007B36B3" w:rsidRPr="007B36B3" w:rsidRDefault="007B36B3" w:rsidP="007B36B3">
      <w:pPr>
        <w:pStyle w:val="Default"/>
        <w:jc w:val="both"/>
        <w:rPr>
          <w:rFonts w:ascii="Verdana" w:hAnsi="Verdana"/>
          <w:color w:val="auto"/>
          <w:sz w:val="22"/>
          <w:szCs w:val="22"/>
        </w:rPr>
      </w:pPr>
      <w:r w:rsidRPr="007B36B3">
        <w:rPr>
          <w:rFonts w:ascii="Verdana" w:hAnsi="Verdana"/>
          <w:color w:val="auto"/>
          <w:sz w:val="22"/>
          <w:szCs w:val="22"/>
        </w:rPr>
        <w:t xml:space="preserve">Ad influire sui risultati dello scorso anno sono stati gli aggiustamenti degli accantonamenti per le imposte sul reddito dovuti alla promulgazione della normativa sulla riforma fiscale degli Stati Uniti (riforma fiscale). Al netto di tali aggiustamenti l'utile netto di Deere &amp; Company per il secondo trimestre e i primi sei mesi dell'anno 2018 sarebbe risultato rispettivamente di 1,034 miliardi di dollari, equivalenti a 3,14 dollari per azione, e 1,476 miliardi di dollari, equivalenti a 4,49 dollari per azione. (Per ulteriori informazioni, fare riferimento all'appendice sulle misure finanziarie non GAAP). </w:t>
      </w:r>
    </w:p>
    <w:p w:rsidR="007B36B3" w:rsidRPr="007B36B3" w:rsidRDefault="007B36B3" w:rsidP="007B36B3">
      <w:pPr>
        <w:jc w:val="both"/>
        <w:rPr>
          <w:rFonts w:ascii="Verdana" w:hAnsi="Verdana"/>
          <w:szCs w:val="22"/>
        </w:rPr>
      </w:pPr>
      <w:r w:rsidRPr="007B36B3">
        <w:rPr>
          <w:rFonts w:ascii="Verdana" w:hAnsi="Verdana"/>
          <w:szCs w:val="22"/>
        </w:rPr>
        <w:t>Le vendite e i ricavi netti a livello globale sono aumentati del 6% raggiungendo 11,342 miliardi di dollari per il secondo trimestre 2019, e del 10% per i primi sei mesi, raggiungendo i 19,326 miliardi. Le vendite nette di macchine hanno raggiunto un valore di 10,273 miliardi di dollari per il secondo trimestre e di 17,214 miliardi di dollari per i primi sei mesi, rispetto ai 9,747 miliardi di dollari e 15,721 miliardi di dollari del corrispondente periodo 2018.</w:t>
      </w:r>
    </w:p>
    <w:p w:rsidR="007B36B3" w:rsidRPr="007B36B3" w:rsidRDefault="007B36B3" w:rsidP="007B36B3">
      <w:pPr>
        <w:jc w:val="both"/>
        <w:rPr>
          <w:rFonts w:ascii="Verdana" w:hAnsi="Verdana" w:cs="Calibri"/>
          <w:color w:val="000000"/>
          <w:szCs w:val="22"/>
        </w:rPr>
      </w:pPr>
      <w:r w:rsidRPr="007B36B3">
        <w:rPr>
          <w:rFonts w:ascii="Verdana" w:hAnsi="Verdana" w:cs="Calibri"/>
          <w:color w:val="000000"/>
          <w:szCs w:val="22"/>
        </w:rPr>
        <w:t>"</w:t>
      </w:r>
      <w:r w:rsidRPr="007B36B3">
        <w:rPr>
          <w:rFonts w:ascii="Verdana" w:hAnsi="Verdana" w:cs="Calibri"/>
          <w:i/>
          <w:color w:val="000000"/>
          <w:szCs w:val="22"/>
        </w:rPr>
        <w:t>John Deere ha ottenuto importanti risultati in questo secondo trimestre malgrado le incertezze che caratterizzano il settore agricolo</w:t>
      </w:r>
      <w:r w:rsidRPr="007B36B3">
        <w:rPr>
          <w:rFonts w:ascii="Verdana" w:hAnsi="Verdana" w:cs="Calibri"/>
          <w:color w:val="000000"/>
          <w:szCs w:val="22"/>
        </w:rPr>
        <w:t>", ha dichiarato Samuel R. Allen, presidente e amministratore delegato John Deere. "</w:t>
      </w:r>
      <w:r w:rsidRPr="007B36B3">
        <w:rPr>
          <w:rFonts w:ascii="Verdana" w:hAnsi="Verdana" w:cs="Calibri"/>
          <w:i/>
          <w:color w:val="000000"/>
          <w:szCs w:val="22"/>
        </w:rPr>
        <w:t xml:space="preserve">Le continue preoccupazioni circa l'accesso al mercato delle esportazioni, la domanda a breve termine di materie prime come la soia e una stagione di </w:t>
      </w:r>
      <w:r w:rsidRPr="007B36B3">
        <w:rPr>
          <w:rFonts w:ascii="Verdana" w:hAnsi="Verdana" w:cs="Calibri"/>
          <w:i/>
          <w:color w:val="000000"/>
          <w:szCs w:val="22"/>
        </w:rPr>
        <w:lastRenderedPageBreak/>
        <w:t>semina in ritardo in gran parte del Nord America hanno reso gli agricoltori molto più cauti nel decidere acquisti importanti. Allo stesso tempo, il quadro economico generale rimane positivo, un fatto che insieme a una base di clienti in crescita ha contribuito ai positivi risultati ottenuti dalle divisioni Construction e Forestale</w:t>
      </w:r>
      <w:r w:rsidRPr="007B36B3">
        <w:rPr>
          <w:rFonts w:ascii="Verdana" w:hAnsi="Verdana" w:cs="Calibri"/>
          <w:color w:val="000000"/>
          <w:szCs w:val="22"/>
        </w:rPr>
        <w:t>".</w:t>
      </w:r>
    </w:p>
    <w:p w:rsidR="007B36B3" w:rsidRPr="007B36B3" w:rsidRDefault="007B36B3" w:rsidP="007B36B3">
      <w:pPr>
        <w:rPr>
          <w:rFonts w:ascii="Verdana" w:hAnsi="Verdana" w:cs="Calibri"/>
          <w:color w:val="000000"/>
          <w:szCs w:val="22"/>
        </w:rPr>
      </w:pPr>
    </w:p>
    <w:p w:rsidR="007B36B3" w:rsidRPr="007B36B3" w:rsidRDefault="007B36B3" w:rsidP="007B36B3">
      <w:pPr>
        <w:rPr>
          <w:rFonts w:ascii="Verdana" w:hAnsi="Verdana" w:cs="Calibri"/>
          <w:b/>
          <w:color w:val="000000"/>
          <w:szCs w:val="22"/>
        </w:rPr>
      </w:pPr>
      <w:r w:rsidRPr="007B36B3">
        <w:rPr>
          <w:rFonts w:ascii="Verdana" w:hAnsi="Verdana" w:cs="Calibri"/>
          <w:b/>
          <w:color w:val="000000"/>
          <w:szCs w:val="22"/>
        </w:rPr>
        <w:t>Outlook aziendale e riepilogo</w:t>
      </w:r>
    </w:p>
    <w:p w:rsidR="007B36B3" w:rsidRPr="007B36B3" w:rsidRDefault="007B36B3" w:rsidP="007B36B3">
      <w:pPr>
        <w:jc w:val="both"/>
        <w:rPr>
          <w:rFonts w:ascii="Verdana" w:hAnsi="Verdana" w:cs="Calibri"/>
          <w:color w:val="000000"/>
          <w:szCs w:val="22"/>
        </w:rPr>
      </w:pPr>
      <w:r w:rsidRPr="007B36B3">
        <w:rPr>
          <w:rFonts w:ascii="Verdana" w:hAnsi="Verdana" w:cs="Calibri"/>
          <w:color w:val="000000"/>
          <w:szCs w:val="22"/>
        </w:rPr>
        <w:t>Si prevede che le vendite di macchine e attrezzature aumenteranno di circa il 5% per l'anno fiscale 2019 rispetto al 2018. Questa previsione include i risultati di Wirtgen per l'intero anno fiscale 2019 rispetto ai 10 mesi dell'anno precedente, equivalenti a circa l'1% in più sulle previsioni di vendita per l'anno in corso. Tali previsioni tengono conto anche di un effetto negativo dei cambi di valuta di circa il 3% per l'anno. Vendite nette e ricavi dovrebbero aumentare di circa il 5% per l'anno fiscale 2019. SI prevede un utile netto per Deere &amp; Company di circa 3,3 miliardi di dollari.</w:t>
      </w:r>
    </w:p>
    <w:p w:rsidR="007B36B3" w:rsidRPr="007B36B3" w:rsidRDefault="007B36B3" w:rsidP="007B36B3">
      <w:pPr>
        <w:jc w:val="both"/>
        <w:rPr>
          <w:rFonts w:ascii="Verdana" w:hAnsi="Verdana" w:cs="Calibri"/>
          <w:color w:val="000000"/>
          <w:szCs w:val="22"/>
        </w:rPr>
      </w:pPr>
      <w:r w:rsidRPr="007B36B3">
        <w:rPr>
          <w:rFonts w:ascii="Verdana" w:hAnsi="Verdana" w:cs="Calibri"/>
          <w:color w:val="000000"/>
          <w:szCs w:val="22"/>
        </w:rPr>
        <w:t>"</w:t>
      </w:r>
      <w:r w:rsidRPr="007B36B3">
        <w:rPr>
          <w:rFonts w:ascii="Verdana" w:hAnsi="Verdana" w:cs="Calibri"/>
          <w:i/>
          <w:color w:val="000000"/>
          <w:szCs w:val="22"/>
        </w:rPr>
        <w:t>"Sebbene i fondamentali a lungo termine per le nostre attività restino favorevoli, le condizioni di debolezza del settore agricolo hanno portato Deere a adottare previsioni finanziarie più prudenti per l'anno in corso", ha dichiarato Allen. "Le previsioni più basse sono in parte il risultato di azioni che stiamo intraprendendo per gestire con prudenza gli asset, che determineranno livelli di produzione inferiori alle vendite al dettaglio nella seconda metà dell'anno. Allo stesso tempo, le strategie a lungo termine di Deere rimangono invariate, e siamo fortemente impegnati nel perseguirle con successo. Stiamo continuando ad ampliare la nostra base clienti globale, e la risposta positiva del mercato alla nostra linea di prodotti e servizi avanzati è decisamente incoraggiante</w:t>
      </w:r>
      <w:r w:rsidRPr="007B36B3">
        <w:rPr>
          <w:rFonts w:ascii="Verdana" w:hAnsi="Verdana" w:cs="Calibri"/>
          <w:color w:val="000000"/>
          <w:szCs w:val="22"/>
        </w:rPr>
        <w:t xml:space="preserve">". </w:t>
      </w:r>
    </w:p>
    <w:p w:rsidR="007B36B3" w:rsidRPr="007B36B3" w:rsidRDefault="007B36B3" w:rsidP="007B36B3">
      <w:pPr>
        <w:jc w:val="both"/>
        <w:rPr>
          <w:rFonts w:ascii="Verdana" w:hAnsi="Verdana" w:cs="Calibri"/>
          <w:color w:val="000000"/>
          <w:szCs w:val="22"/>
        </w:rPr>
      </w:pPr>
    </w:p>
    <w:p w:rsidR="007B36B3" w:rsidRPr="007B36B3" w:rsidRDefault="007B36B3" w:rsidP="007B36B3">
      <w:pPr>
        <w:rPr>
          <w:rFonts w:ascii="Verdana" w:hAnsi="Verdana" w:cs="Calibri"/>
          <w:b/>
          <w:color w:val="000000"/>
          <w:sz w:val="18"/>
          <w:szCs w:val="18"/>
        </w:rPr>
      </w:pPr>
      <w:r w:rsidRPr="007B36B3">
        <w:rPr>
          <w:rFonts w:ascii="Verdana" w:hAnsi="Verdana" w:cs="Calibri"/>
          <w:b/>
          <w:color w:val="000000"/>
          <w:sz w:val="18"/>
          <w:szCs w:val="18"/>
        </w:rPr>
        <w:t xml:space="preserve">Deere &amp; Company </w:t>
      </w:r>
      <w:r w:rsidRPr="007B36B3">
        <w:rPr>
          <w:rFonts w:ascii="Verdana" w:hAnsi="Verdana" w:cs="Calibri"/>
          <w:b/>
          <w:color w:val="000000"/>
          <w:sz w:val="18"/>
          <w:szCs w:val="18"/>
        </w:rPr>
        <w:tab/>
        <w:t>Secondo Trimestre</w:t>
      </w:r>
      <w:r w:rsidRPr="007B36B3">
        <w:rPr>
          <w:rFonts w:ascii="Verdana" w:hAnsi="Verdana" w:cs="Calibri"/>
          <w:b/>
          <w:color w:val="000000"/>
          <w:sz w:val="18"/>
          <w:szCs w:val="18"/>
        </w:rPr>
        <w:tab/>
      </w:r>
      <w:r w:rsidRPr="007B36B3">
        <w:rPr>
          <w:rFonts w:ascii="Verdana" w:hAnsi="Verdana" w:cs="Calibri"/>
          <w:b/>
          <w:color w:val="000000"/>
          <w:sz w:val="18"/>
          <w:szCs w:val="18"/>
        </w:rPr>
        <w:tab/>
        <w:t>Anno su anno</w:t>
      </w:r>
    </w:p>
    <w:p w:rsidR="007B36B3" w:rsidRPr="007B36B3" w:rsidRDefault="007B36B3" w:rsidP="007B36B3">
      <w:pPr>
        <w:rPr>
          <w:rFonts w:ascii="Verdana" w:hAnsi="Verdana" w:cs="Calibri"/>
          <w:color w:val="000000"/>
          <w:sz w:val="18"/>
          <w:szCs w:val="18"/>
        </w:rPr>
      </w:pPr>
      <w:r>
        <w:rPr>
          <w:rFonts w:ascii="Verdana" w:hAnsi="Verdana" w:cs="Calibri"/>
          <w:color w:val="000000"/>
          <w:sz w:val="18"/>
          <w:szCs w:val="18"/>
        </w:rPr>
        <w:tab/>
      </w:r>
      <w:r>
        <w:rPr>
          <w:rFonts w:ascii="Verdana" w:hAnsi="Verdana" w:cs="Calibri"/>
          <w:color w:val="000000"/>
          <w:sz w:val="18"/>
          <w:szCs w:val="18"/>
        </w:rPr>
        <w:tab/>
      </w:r>
      <w:r>
        <w:rPr>
          <w:rFonts w:ascii="Verdana" w:hAnsi="Verdana" w:cs="Calibri"/>
          <w:color w:val="000000"/>
          <w:sz w:val="18"/>
          <w:szCs w:val="18"/>
        </w:rPr>
        <w:tab/>
      </w:r>
      <w:r w:rsidRPr="007B36B3">
        <w:rPr>
          <w:rFonts w:ascii="Verdana" w:hAnsi="Verdana" w:cs="Calibri"/>
          <w:color w:val="000000"/>
          <w:sz w:val="18"/>
          <w:szCs w:val="18"/>
        </w:rPr>
        <w:t xml:space="preserve">2019 </w:t>
      </w:r>
      <w:r w:rsidRPr="007B36B3">
        <w:rPr>
          <w:rFonts w:ascii="Verdana" w:hAnsi="Verdana" w:cs="Calibri"/>
          <w:color w:val="000000"/>
          <w:sz w:val="18"/>
          <w:szCs w:val="18"/>
        </w:rPr>
        <w:tab/>
        <w:t>2018</w:t>
      </w:r>
      <w:r w:rsidRPr="007B36B3">
        <w:rPr>
          <w:rFonts w:ascii="Verdana" w:hAnsi="Verdana" w:cs="Calibri"/>
          <w:color w:val="000000"/>
          <w:sz w:val="18"/>
          <w:szCs w:val="18"/>
        </w:rPr>
        <w:tab/>
        <w:t>variazione %</w:t>
      </w:r>
      <w:r w:rsidRPr="007B36B3">
        <w:rPr>
          <w:rFonts w:ascii="Verdana" w:hAnsi="Verdana" w:cs="Calibri"/>
          <w:color w:val="000000"/>
          <w:sz w:val="18"/>
          <w:szCs w:val="18"/>
        </w:rPr>
        <w:tab/>
        <w:t>2019</w:t>
      </w:r>
      <w:r w:rsidRPr="007B36B3">
        <w:rPr>
          <w:rFonts w:ascii="Verdana" w:hAnsi="Verdana" w:cs="Calibri"/>
          <w:color w:val="000000"/>
          <w:sz w:val="18"/>
          <w:szCs w:val="18"/>
        </w:rPr>
        <w:tab/>
        <w:t>2018</w:t>
      </w:r>
      <w:r w:rsidRPr="007B36B3">
        <w:rPr>
          <w:rFonts w:ascii="Verdana" w:hAnsi="Verdana" w:cs="Calibri"/>
          <w:color w:val="000000"/>
          <w:sz w:val="18"/>
          <w:szCs w:val="18"/>
        </w:rPr>
        <w:tab/>
        <w:t>variazione %</w:t>
      </w:r>
    </w:p>
    <w:p w:rsidR="007B36B3" w:rsidRPr="007B36B3" w:rsidRDefault="007B36B3" w:rsidP="007B36B3">
      <w:pPr>
        <w:rPr>
          <w:rFonts w:ascii="Verdana" w:hAnsi="Verdana" w:cs="Calibri"/>
          <w:color w:val="000000"/>
          <w:sz w:val="18"/>
          <w:szCs w:val="18"/>
        </w:rPr>
      </w:pPr>
      <w:r w:rsidRPr="007B36B3">
        <w:rPr>
          <w:rFonts w:ascii="Verdana" w:hAnsi="Verdana" w:cs="Calibri"/>
          <w:color w:val="000000"/>
          <w:sz w:val="18"/>
          <w:szCs w:val="18"/>
        </w:rPr>
        <w:t>Ricavi e vendite nette</w:t>
      </w:r>
      <w:r w:rsidRPr="007B36B3">
        <w:rPr>
          <w:rFonts w:ascii="Verdana" w:hAnsi="Verdana" w:cs="Calibri"/>
          <w:color w:val="000000"/>
          <w:sz w:val="18"/>
          <w:szCs w:val="18"/>
        </w:rPr>
        <w:tab/>
        <w:t>11.342</w:t>
      </w:r>
      <w:r w:rsidRPr="007B36B3">
        <w:rPr>
          <w:rFonts w:ascii="Verdana" w:hAnsi="Verdana" w:cs="Calibri"/>
          <w:color w:val="000000"/>
          <w:sz w:val="18"/>
          <w:szCs w:val="18"/>
        </w:rPr>
        <w:tab/>
        <w:t>10.720</w:t>
      </w:r>
      <w:r w:rsidRPr="007B36B3">
        <w:rPr>
          <w:rFonts w:ascii="Verdana" w:hAnsi="Verdana" w:cs="Calibri"/>
          <w:color w:val="000000"/>
          <w:sz w:val="18"/>
          <w:szCs w:val="18"/>
        </w:rPr>
        <w:tab/>
        <w:t>6%</w:t>
      </w:r>
      <w:r w:rsidRPr="007B36B3">
        <w:rPr>
          <w:rFonts w:ascii="Verdana" w:hAnsi="Verdana" w:cs="Calibri"/>
          <w:color w:val="000000"/>
          <w:sz w:val="18"/>
          <w:szCs w:val="18"/>
        </w:rPr>
        <w:tab/>
      </w:r>
      <w:r w:rsidRPr="007B36B3">
        <w:rPr>
          <w:rFonts w:ascii="Verdana" w:hAnsi="Verdana" w:cs="Calibri"/>
          <w:color w:val="000000"/>
          <w:sz w:val="18"/>
          <w:szCs w:val="18"/>
        </w:rPr>
        <w:tab/>
        <w:t>19.326</w:t>
      </w:r>
      <w:r w:rsidRPr="007B36B3">
        <w:rPr>
          <w:rFonts w:ascii="Verdana" w:hAnsi="Verdana" w:cs="Calibri"/>
          <w:color w:val="000000"/>
          <w:sz w:val="18"/>
          <w:szCs w:val="18"/>
        </w:rPr>
        <w:tab/>
        <w:t>17.633</w:t>
      </w:r>
      <w:r w:rsidRPr="007B36B3">
        <w:rPr>
          <w:rFonts w:ascii="Verdana" w:hAnsi="Verdana" w:cs="Calibri"/>
          <w:color w:val="000000"/>
          <w:sz w:val="18"/>
          <w:szCs w:val="18"/>
        </w:rPr>
        <w:tab/>
        <w:t>10</w:t>
      </w:r>
      <w:r w:rsidRPr="007B36B3">
        <w:rPr>
          <w:rFonts w:ascii="Verdana" w:hAnsi="Verdana" w:cs="Calibri"/>
          <w:color w:val="000000"/>
          <w:sz w:val="18"/>
          <w:szCs w:val="18"/>
        </w:rPr>
        <w:tab/>
      </w:r>
    </w:p>
    <w:p w:rsidR="007B36B3" w:rsidRPr="007B36B3" w:rsidRDefault="007B36B3" w:rsidP="007B36B3">
      <w:pPr>
        <w:rPr>
          <w:rFonts w:ascii="Verdana" w:hAnsi="Verdana" w:cs="Calibri"/>
          <w:color w:val="000000"/>
          <w:sz w:val="18"/>
          <w:szCs w:val="18"/>
        </w:rPr>
      </w:pPr>
      <w:r w:rsidRPr="007B36B3">
        <w:rPr>
          <w:rFonts w:ascii="Verdana" w:hAnsi="Verdana" w:cs="Calibri"/>
          <w:color w:val="000000"/>
          <w:sz w:val="18"/>
          <w:szCs w:val="18"/>
        </w:rPr>
        <w:t xml:space="preserve">Utile netto </w:t>
      </w:r>
      <w:r w:rsidRPr="007B36B3">
        <w:rPr>
          <w:rFonts w:ascii="Verdana" w:hAnsi="Verdana" w:cs="Calibri"/>
          <w:color w:val="000000"/>
          <w:sz w:val="18"/>
          <w:szCs w:val="18"/>
        </w:rPr>
        <w:tab/>
      </w:r>
      <w:r w:rsidRPr="007B36B3">
        <w:rPr>
          <w:rFonts w:ascii="Verdana" w:hAnsi="Verdana" w:cs="Calibri"/>
          <w:color w:val="000000"/>
          <w:sz w:val="18"/>
          <w:szCs w:val="18"/>
        </w:rPr>
        <w:tab/>
        <w:t>1.135</w:t>
      </w:r>
      <w:r w:rsidRPr="007B36B3">
        <w:rPr>
          <w:rFonts w:ascii="Verdana" w:hAnsi="Verdana" w:cs="Calibri"/>
          <w:color w:val="000000"/>
          <w:sz w:val="18"/>
          <w:szCs w:val="18"/>
        </w:rPr>
        <w:tab/>
        <w:t>1.208</w:t>
      </w:r>
      <w:r w:rsidRPr="007B36B3">
        <w:rPr>
          <w:rFonts w:ascii="Verdana" w:hAnsi="Verdana" w:cs="Calibri"/>
          <w:color w:val="000000"/>
          <w:sz w:val="18"/>
          <w:szCs w:val="18"/>
        </w:rPr>
        <w:tab/>
        <w:t>-6%</w:t>
      </w:r>
      <w:r w:rsidRPr="007B36B3">
        <w:rPr>
          <w:rFonts w:ascii="Verdana" w:hAnsi="Verdana" w:cs="Calibri"/>
          <w:color w:val="000000"/>
          <w:sz w:val="18"/>
          <w:szCs w:val="18"/>
        </w:rPr>
        <w:tab/>
      </w:r>
      <w:r w:rsidRPr="007B36B3">
        <w:rPr>
          <w:rFonts w:ascii="Verdana" w:hAnsi="Verdana" w:cs="Calibri"/>
          <w:color w:val="000000"/>
          <w:sz w:val="18"/>
          <w:szCs w:val="18"/>
        </w:rPr>
        <w:tab/>
        <w:t>1.633</w:t>
      </w:r>
      <w:r w:rsidRPr="007B36B3">
        <w:rPr>
          <w:rFonts w:ascii="Verdana" w:hAnsi="Verdana" w:cs="Calibri"/>
          <w:color w:val="000000"/>
          <w:sz w:val="18"/>
          <w:szCs w:val="18"/>
        </w:rPr>
        <w:tab/>
        <w:t>673</w:t>
      </w:r>
      <w:r w:rsidRPr="007B36B3">
        <w:rPr>
          <w:rFonts w:ascii="Verdana" w:hAnsi="Verdana" w:cs="Calibri"/>
          <w:color w:val="000000"/>
          <w:sz w:val="18"/>
          <w:szCs w:val="18"/>
        </w:rPr>
        <w:tab/>
        <w:t>143</w:t>
      </w:r>
    </w:p>
    <w:p w:rsidR="007B36B3" w:rsidRPr="007B36B3" w:rsidRDefault="007B36B3" w:rsidP="007B36B3">
      <w:pPr>
        <w:rPr>
          <w:rFonts w:ascii="Verdana" w:hAnsi="Verdana" w:cs="Calibri"/>
          <w:color w:val="000000"/>
          <w:sz w:val="18"/>
          <w:szCs w:val="18"/>
        </w:rPr>
      </w:pPr>
      <w:r w:rsidRPr="007B36B3">
        <w:rPr>
          <w:rFonts w:ascii="Verdana" w:hAnsi="Verdana" w:cs="Calibri"/>
          <w:color w:val="000000"/>
          <w:sz w:val="18"/>
          <w:szCs w:val="18"/>
        </w:rPr>
        <w:t>Azioni inter</w:t>
      </w:r>
      <w:r>
        <w:rPr>
          <w:rFonts w:ascii="Verdana" w:hAnsi="Verdana" w:cs="Calibri"/>
          <w:color w:val="000000"/>
          <w:sz w:val="18"/>
          <w:szCs w:val="18"/>
        </w:rPr>
        <w:t>.</w:t>
      </w:r>
      <w:r w:rsidRPr="007B36B3">
        <w:rPr>
          <w:rFonts w:ascii="Verdana" w:hAnsi="Verdana" w:cs="Calibri"/>
          <w:color w:val="000000"/>
          <w:sz w:val="18"/>
          <w:szCs w:val="18"/>
        </w:rPr>
        <w:t xml:space="preserve"> diluite</w:t>
      </w:r>
      <w:r w:rsidRPr="007B36B3">
        <w:rPr>
          <w:rFonts w:ascii="Verdana" w:hAnsi="Verdana" w:cs="Calibri"/>
          <w:color w:val="000000"/>
          <w:sz w:val="18"/>
          <w:szCs w:val="18"/>
        </w:rPr>
        <w:tab/>
      </w:r>
      <w:r>
        <w:rPr>
          <w:rFonts w:ascii="Verdana" w:hAnsi="Verdana" w:cs="Calibri"/>
          <w:color w:val="000000"/>
          <w:sz w:val="18"/>
          <w:szCs w:val="18"/>
        </w:rPr>
        <w:t>3</w:t>
      </w:r>
      <w:r w:rsidRPr="007B36B3">
        <w:rPr>
          <w:rFonts w:ascii="Verdana" w:hAnsi="Verdana" w:cs="Calibri"/>
          <w:color w:val="000000"/>
          <w:sz w:val="18"/>
          <w:szCs w:val="18"/>
        </w:rPr>
        <w:t>,52</w:t>
      </w:r>
      <w:r w:rsidRPr="007B36B3">
        <w:rPr>
          <w:rFonts w:ascii="Verdana" w:hAnsi="Verdana" w:cs="Calibri"/>
          <w:color w:val="000000"/>
          <w:sz w:val="18"/>
          <w:szCs w:val="18"/>
        </w:rPr>
        <w:tab/>
        <w:t>3,67</w:t>
      </w:r>
      <w:r w:rsidRPr="007B36B3">
        <w:rPr>
          <w:rFonts w:ascii="Verdana" w:hAnsi="Verdana" w:cs="Calibri"/>
          <w:color w:val="000000"/>
          <w:sz w:val="18"/>
          <w:szCs w:val="18"/>
        </w:rPr>
        <w:tab/>
        <w:t>-</w:t>
      </w:r>
      <w:r w:rsidRPr="007B36B3">
        <w:rPr>
          <w:rFonts w:ascii="Verdana" w:hAnsi="Verdana" w:cs="Calibri"/>
          <w:color w:val="000000"/>
          <w:sz w:val="18"/>
          <w:szCs w:val="18"/>
        </w:rPr>
        <w:tab/>
      </w:r>
      <w:r w:rsidRPr="007B36B3">
        <w:rPr>
          <w:rFonts w:ascii="Verdana" w:hAnsi="Verdana" w:cs="Calibri"/>
          <w:color w:val="000000"/>
          <w:sz w:val="18"/>
          <w:szCs w:val="18"/>
        </w:rPr>
        <w:tab/>
        <w:t>5,07</w:t>
      </w:r>
      <w:r w:rsidRPr="007B36B3">
        <w:rPr>
          <w:rFonts w:ascii="Verdana" w:hAnsi="Verdana" w:cs="Calibri"/>
          <w:color w:val="000000"/>
          <w:sz w:val="18"/>
          <w:szCs w:val="18"/>
        </w:rPr>
        <w:tab/>
        <w:t>2,05</w:t>
      </w:r>
      <w:r w:rsidRPr="007B36B3">
        <w:rPr>
          <w:rFonts w:ascii="Verdana" w:hAnsi="Verdana" w:cs="Calibri"/>
          <w:color w:val="000000"/>
          <w:sz w:val="18"/>
          <w:szCs w:val="18"/>
        </w:rPr>
        <w:tab/>
        <w:t>-</w:t>
      </w:r>
      <w:r w:rsidRPr="007B36B3">
        <w:rPr>
          <w:rFonts w:ascii="Verdana" w:hAnsi="Verdana" w:cs="Calibri"/>
          <w:color w:val="000000"/>
          <w:sz w:val="18"/>
          <w:szCs w:val="18"/>
        </w:rPr>
        <w:tab/>
      </w:r>
    </w:p>
    <w:p w:rsidR="007B36B3" w:rsidRPr="007B36B3" w:rsidRDefault="007B36B3" w:rsidP="007B36B3">
      <w:pPr>
        <w:rPr>
          <w:rFonts w:ascii="Verdana" w:hAnsi="Verdana" w:cs="Calibri"/>
          <w:color w:val="000000"/>
          <w:sz w:val="18"/>
          <w:szCs w:val="18"/>
        </w:rPr>
      </w:pPr>
      <w:r w:rsidRPr="007B36B3">
        <w:rPr>
          <w:rFonts w:ascii="Verdana" w:hAnsi="Verdana" w:cs="Calibri"/>
          <w:color w:val="000000"/>
          <w:sz w:val="18"/>
          <w:szCs w:val="18"/>
        </w:rPr>
        <w:t>Utile netto - corretto</w:t>
      </w:r>
      <w:r w:rsidRPr="007B36B3">
        <w:rPr>
          <w:rFonts w:ascii="Verdana" w:hAnsi="Verdana" w:cs="Calibri"/>
          <w:color w:val="000000"/>
          <w:sz w:val="18"/>
          <w:szCs w:val="18"/>
        </w:rPr>
        <w:tab/>
        <w:t>1.135</w:t>
      </w:r>
      <w:r w:rsidRPr="007B36B3">
        <w:rPr>
          <w:rFonts w:ascii="Verdana" w:hAnsi="Verdana" w:cs="Calibri"/>
          <w:color w:val="000000"/>
          <w:sz w:val="18"/>
          <w:szCs w:val="18"/>
        </w:rPr>
        <w:tab/>
        <w:t>1.034</w:t>
      </w:r>
      <w:r w:rsidRPr="007B36B3">
        <w:rPr>
          <w:rFonts w:ascii="Verdana" w:hAnsi="Verdana" w:cs="Calibri"/>
          <w:color w:val="000000"/>
          <w:sz w:val="18"/>
          <w:szCs w:val="18"/>
        </w:rPr>
        <w:tab/>
        <w:t>10%</w:t>
      </w:r>
      <w:r w:rsidRPr="007B36B3">
        <w:rPr>
          <w:rFonts w:ascii="Verdana" w:hAnsi="Verdana" w:cs="Calibri"/>
          <w:color w:val="000000"/>
          <w:sz w:val="18"/>
          <w:szCs w:val="18"/>
        </w:rPr>
        <w:tab/>
      </w:r>
      <w:r w:rsidRPr="007B36B3">
        <w:rPr>
          <w:rFonts w:ascii="Verdana" w:hAnsi="Verdana" w:cs="Calibri"/>
          <w:color w:val="000000"/>
          <w:sz w:val="18"/>
          <w:szCs w:val="18"/>
        </w:rPr>
        <w:tab/>
        <w:t>1.633</w:t>
      </w:r>
      <w:r w:rsidRPr="007B36B3">
        <w:rPr>
          <w:rFonts w:ascii="Verdana" w:hAnsi="Verdana" w:cs="Calibri"/>
          <w:color w:val="000000"/>
          <w:sz w:val="18"/>
          <w:szCs w:val="18"/>
        </w:rPr>
        <w:tab/>
        <w:t>1.476</w:t>
      </w:r>
      <w:r w:rsidRPr="007B36B3">
        <w:rPr>
          <w:rFonts w:ascii="Verdana" w:hAnsi="Verdana" w:cs="Calibri"/>
          <w:color w:val="000000"/>
          <w:sz w:val="18"/>
          <w:szCs w:val="18"/>
        </w:rPr>
        <w:tab/>
        <w:t>11</w:t>
      </w:r>
    </w:p>
    <w:p w:rsidR="007B36B3" w:rsidRDefault="007B36B3" w:rsidP="007B36B3">
      <w:pPr>
        <w:rPr>
          <w:rFonts w:ascii="Verdana" w:hAnsi="Verdana" w:cs="Calibri"/>
          <w:color w:val="000000"/>
          <w:sz w:val="18"/>
          <w:szCs w:val="18"/>
        </w:rPr>
      </w:pPr>
      <w:r w:rsidRPr="007B36B3">
        <w:rPr>
          <w:rFonts w:ascii="Verdana" w:hAnsi="Verdana" w:cs="Calibri"/>
          <w:color w:val="000000"/>
          <w:sz w:val="18"/>
          <w:szCs w:val="18"/>
        </w:rPr>
        <w:t>Azioni int</w:t>
      </w:r>
      <w:r>
        <w:rPr>
          <w:rFonts w:ascii="Verdana" w:hAnsi="Verdana" w:cs="Calibri"/>
          <w:color w:val="000000"/>
          <w:sz w:val="18"/>
          <w:szCs w:val="18"/>
        </w:rPr>
        <w:t>er.</w:t>
      </w:r>
      <w:r w:rsidRPr="007B36B3">
        <w:rPr>
          <w:rFonts w:ascii="Verdana" w:hAnsi="Verdana" w:cs="Calibri"/>
          <w:color w:val="000000"/>
          <w:sz w:val="18"/>
          <w:szCs w:val="18"/>
        </w:rPr>
        <w:t xml:space="preserve"> diluite </w:t>
      </w:r>
    </w:p>
    <w:p w:rsidR="007B36B3" w:rsidRPr="007B36B3" w:rsidRDefault="007B36B3" w:rsidP="007B36B3">
      <w:pPr>
        <w:rPr>
          <w:rFonts w:ascii="Verdana" w:hAnsi="Verdana" w:cs="Calibri"/>
          <w:color w:val="000000"/>
          <w:sz w:val="18"/>
          <w:szCs w:val="18"/>
        </w:rPr>
      </w:pPr>
      <w:r w:rsidRPr="007B36B3">
        <w:rPr>
          <w:rFonts w:ascii="Verdana" w:hAnsi="Verdana" w:cs="Calibri"/>
          <w:color w:val="000000"/>
          <w:sz w:val="18"/>
          <w:szCs w:val="18"/>
        </w:rPr>
        <w:t>- corretto</w:t>
      </w:r>
      <w:bookmarkStart w:id="0" w:name="_GoBack"/>
      <w:bookmarkEnd w:id="0"/>
      <w:r w:rsidRPr="007B36B3">
        <w:rPr>
          <w:rFonts w:ascii="Verdana" w:hAnsi="Verdana" w:cs="Calibri"/>
          <w:color w:val="000000"/>
          <w:sz w:val="18"/>
          <w:szCs w:val="18"/>
        </w:rPr>
        <w:tab/>
      </w:r>
      <w:r w:rsidRPr="007B36B3">
        <w:rPr>
          <w:rFonts w:ascii="Verdana" w:hAnsi="Verdana" w:cs="Calibri"/>
          <w:color w:val="000000"/>
          <w:sz w:val="18"/>
          <w:szCs w:val="18"/>
        </w:rPr>
        <w:tab/>
        <w:t>3,52</w:t>
      </w:r>
      <w:r w:rsidRPr="007B36B3">
        <w:rPr>
          <w:rFonts w:ascii="Verdana" w:hAnsi="Verdana" w:cs="Calibri"/>
          <w:color w:val="000000"/>
          <w:sz w:val="18"/>
          <w:szCs w:val="18"/>
        </w:rPr>
        <w:tab/>
        <w:t>3,14</w:t>
      </w:r>
      <w:r w:rsidRPr="007B36B3">
        <w:rPr>
          <w:rFonts w:ascii="Verdana" w:hAnsi="Verdana" w:cs="Calibri"/>
          <w:color w:val="000000"/>
          <w:sz w:val="18"/>
          <w:szCs w:val="18"/>
        </w:rPr>
        <w:tab/>
        <w:t>-</w:t>
      </w:r>
      <w:r w:rsidRPr="007B36B3">
        <w:rPr>
          <w:rFonts w:ascii="Verdana" w:hAnsi="Verdana" w:cs="Calibri"/>
          <w:color w:val="000000"/>
          <w:sz w:val="18"/>
          <w:szCs w:val="18"/>
        </w:rPr>
        <w:tab/>
      </w:r>
      <w:r w:rsidRPr="007B36B3">
        <w:rPr>
          <w:rFonts w:ascii="Verdana" w:hAnsi="Verdana" w:cs="Calibri"/>
          <w:color w:val="000000"/>
          <w:sz w:val="18"/>
          <w:szCs w:val="18"/>
        </w:rPr>
        <w:tab/>
        <w:t>5,07</w:t>
      </w:r>
      <w:r w:rsidRPr="007B36B3">
        <w:rPr>
          <w:rFonts w:ascii="Verdana" w:hAnsi="Verdana" w:cs="Calibri"/>
          <w:color w:val="000000"/>
          <w:sz w:val="18"/>
          <w:szCs w:val="18"/>
        </w:rPr>
        <w:tab/>
        <w:t>4,49</w:t>
      </w:r>
    </w:p>
    <w:p w:rsidR="007B36B3" w:rsidRDefault="007B36B3" w:rsidP="007B36B3">
      <w:pPr>
        <w:rPr>
          <w:rFonts w:ascii="Verdana" w:hAnsi="Verdana" w:cs="Calibri"/>
          <w:color w:val="000000"/>
          <w:sz w:val="18"/>
          <w:szCs w:val="18"/>
        </w:rPr>
      </w:pPr>
      <w:r w:rsidRPr="007B36B3">
        <w:rPr>
          <w:rFonts w:ascii="Verdana" w:hAnsi="Verdana" w:cs="Calibri"/>
          <w:color w:val="000000"/>
          <w:sz w:val="18"/>
          <w:szCs w:val="18"/>
        </w:rPr>
        <w:t>Valori in milioni di dollari (esclusi i dati EPS)</w:t>
      </w:r>
      <w:r w:rsidRPr="007B36B3">
        <w:rPr>
          <w:rFonts w:ascii="Verdana" w:hAnsi="Verdana" w:cs="Calibri"/>
          <w:color w:val="000000"/>
          <w:sz w:val="18"/>
          <w:szCs w:val="18"/>
        </w:rPr>
        <w:tab/>
      </w:r>
    </w:p>
    <w:p w:rsidR="007B36B3" w:rsidRPr="007B36B3" w:rsidRDefault="007B36B3" w:rsidP="007B36B3">
      <w:pPr>
        <w:rPr>
          <w:rFonts w:ascii="Verdana" w:hAnsi="Verdana" w:cs="Calibri"/>
          <w:color w:val="000000"/>
          <w:sz w:val="18"/>
          <w:szCs w:val="18"/>
        </w:rPr>
      </w:pPr>
    </w:p>
    <w:p w:rsidR="007B36B3" w:rsidRPr="007B36B3" w:rsidRDefault="007B36B3" w:rsidP="007B36B3">
      <w:pPr>
        <w:jc w:val="both"/>
        <w:rPr>
          <w:rFonts w:ascii="Verdana" w:hAnsi="Verdana" w:cs="Calibri"/>
          <w:color w:val="000000"/>
          <w:szCs w:val="22"/>
        </w:rPr>
      </w:pPr>
      <w:r w:rsidRPr="007B36B3">
        <w:rPr>
          <w:rFonts w:ascii="Verdana" w:hAnsi="Verdana" w:cs="Calibri"/>
          <w:color w:val="000000"/>
          <w:szCs w:val="22"/>
        </w:rPr>
        <w:t>I risultati sono stati influenzati favorevolmente per 174 milioni di dollari nel secondo trimestre 2018 e sfavorevolmente per 803 milioni di dollari per i primi sei mesi dagli aggiustamenti degli oneri di accantonamento per imposte sul reddito dovuti alla normativa sulla riforma fiscale (Per ulteriori informazioni, fare riferimento all'appendice sulle misure finanziarie non GAAP).</w:t>
      </w:r>
    </w:p>
    <w:p w:rsidR="007B36B3" w:rsidRPr="007B36B3" w:rsidRDefault="007B36B3" w:rsidP="007B36B3">
      <w:pPr>
        <w:rPr>
          <w:rFonts w:ascii="Verdana" w:hAnsi="Verdana" w:cs="Calibri"/>
          <w:color w:val="000000"/>
          <w:szCs w:val="22"/>
        </w:rPr>
      </w:pPr>
    </w:p>
    <w:p w:rsidR="007B36B3" w:rsidRPr="007B36B3" w:rsidRDefault="007B36B3" w:rsidP="007B36B3">
      <w:pPr>
        <w:rPr>
          <w:rFonts w:ascii="Verdana" w:hAnsi="Verdana" w:cs="Calibri"/>
          <w:b/>
          <w:color w:val="000000"/>
          <w:sz w:val="18"/>
          <w:szCs w:val="18"/>
        </w:rPr>
      </w:pPr>
      <w:r w:rsidRPr="007B36B3">
        <w:rPr>
          <w:rFonts w:ascii="Verdana" w:hAnsi="Verdana" w:cs="Calibri"/>
          <w:b/>
          <w:color w:val="000000"/>
          <w:sz w:val="18"/>
          <w:szCs w:val="18"/>
        </w:rPr>
        <w:t xml:space="preserve">Macchine e attrezzature </w:t>
      </w:r>
      <w:r w:rsidRPr="007B36B3">
        <w:rPr>
          <w:rFonts w:ascii="Verdana" w:hAnsi="Verdana" w:cs="Calibri"/>
          <w:b/>
          <w:color w:val="000000"/>
          <w:sz w:val="18"/>
          <w:szCs w:val="18"/>
        </w:rPr>
        <w:tab/>
        <w:t>Secondo Trimestre</w:t>
      </w:r>
      <w:r w:rsidRPr="007B36B3">
        <w:rPr>
          <w:rFonts w:ascii="Verdana" w:hAnsi="Verdana" w:cs="Calibri"/>
          <w:b/>
          <w:color w:val="000000"/>
          <w:sz w:val="18"/>
          <w:szCs w:val="18"/>
        </w:rPr>
        <w:tab/>
      </w:r>
      <w:r w:rsidRPr="007B36B3">
        <w:rPr>
          <w:rFonts w:ascii="Verdana" w:hAnsi="Verdana" w:cs="Calibri"/>
          <w:b/>
          <w:color w:val="000000"/>
          <w:sz w:val="18"/>
          <w:szCs w:val="18"/>
        </w:rPr>
        <w:tab/>
        <w:t>Anno su anno</w:t>
      </w:r>
    </w:p>
    <w:p w:rsidR="007B36B3" w:rsidRPr="007B36B3" w:rsidRDefault="007B36B3" w:rsidP="007B36B3">
      <w:pPr>
        <w:rPr>
          <w:rFonts w:ascii="Verdana" w:hAnsi="Verdana" w:cs="Calibri"/>
          <w:color w:val="000000"/>
          <w:sz w:val="18"/>
          <w:szCs w:val="18"/>
        </w:rPr>
      </w:pPr>
      <w:r w:rsidRPr="007B36B3">
        <w:rPr>
          <w:rFonts w:ascii="Verdana" w:hAnsi="Verdana" w:cs="Calibri"/>
          <w:color w:val="000000"/>
          <w:sz w:val="18"/>
          <w:szCs w:val="18"/>
        </w:rPr>
        <w:t>Valori in milioni di dollari</w:t>
      </w:r>
      <w:r w:rsidRPr="007B36B3">
        <w:rPr>
          <w:rFonts w:ascii="Verdana" w:hAnsi="Verdana" w:cs="Calibri"/>
          <w:color w:val="000000"/>
          <w:sz w:val="18"/>
          <w:szCs w:val="18"/>
        </w:rPr>
        <w:tab/>
        <w:t>2019</w:t>
      </w:r>
      <w:r w:rsidRPr="007B36B3">
        <w:rPr>
          <w:rFonts w:ascii="Verdana" w:hAnsi="Verdana" w:cs="Calibri"/>
          <w:color w:val="000000"/>
          <w:sz w:val="18"/>
          <w:szCs w:val="18"/>
        </w:rPr>
        <w:tab/>
        <w:t>2018</w:t>
      </w:r>
      <w:r w:rsidRPr="007B36B3">
        <w:rPr>
          <w:rFonts w:ascii="Verdana" w:hAnsi="Verdana" w:cs="Calibri"/>
          <w:color w:val="000000"/>
          <w:sz w:val="18"/>
          <w:szCs w:val="18"/>
        </w:rPr>
        <w:tab/>
        <w:t>variazione %</w:t>
      </w:r>
      <w:r w:rsidRPr="007B36B3">
        <w:rPr>
          <w:rFonts w:ascii="Verdana" w:hAnsi="Verdana" w:cs="Calibri"/>
          <w:color w:val="000000"/>
          <w:sz w:val="18"/>
          <w:szCs w:val="18"/>
        </w:rPr>
        <w:tab/>
        <w:t>2019</w:t>
      </w:r>
      <w:r w:rsidRPr="007B36B3">
        <w:rPr>
          <w:rFonts w:ascii="Verdana" w:hAnsi="Verdana" w:cs="Calibri"/>
          <w:color w:val="000000"/>
          <w:sz w:val="18"/>
          <w:szCs w:val="18"/>
        </w:rPr>
        <w:tab/>
        <w:t>2018</w:t>
      </w:r>
      <w:r w:rsidRPr="007B36B3">
        <w:rPr>
          <w:rFonts w:ascii="Verdana" w:hAnsi="Verdana" w:cs="Calibri"/>
          <w:color w:val="000000"/>
          <w:sz w:val="18"/>
          <w:szCs w:val="18"/>
        </w:rPr>
        <w:tab/>
        <w:t>variazione %</w:t>
      </w:r>
    </w:p>
    <w:p w:rsidR="007B36B3" w:rsidRPr="007B36B3" w:rsidRDefault="007B36B3" w:rsidP="007B36B3">
      <w:pPr>
        <w:rPr>
          <w:rFonts w:ascii="Verdana" w:hAnsi="Verdana" w:cs="Calibri"/>
          <w:color w:val="000000"/>
          <w:sz w:val="18"/>
          <w:szCs w:val="18"/>
        </w:rPr>
      </w:pPr>
      <w:r w:rsidRPr="007B36B3">
        <w:rPr>
          <w:rFonts w:ascii="Verdana" w:hAnsi="Verdana" w:cs="Calibri"/>
          <w:color w:val="000000"/>
          <w:sz w:val="18"/>
          <w:szCs w:val="18"/>
        </w:rPr>
        <w:t>Vendite nette</w:t>
      </w:r>
      <w:r w:rsidRPr="007B36B3">
        <w:rPr>
          <w:rFonts w:ascii="Verdana" w:hAnsi="Verdana" w:cs="Calibri"/>
          <w:color w:val="000000"/>
          <w:sz w:val="18"/>
          <w:szCs w:val="18"/>
        </w:rPr>
        <w:tab/>
      </w:r>
      <w:r w:rsidRPr="007B36B3">
        <w:rPr>
          <w:rFonts w:ascii="Verdana" w:hAnsi="Verdana" w:cs="Calibri"/>
          <w:color w:val="000000"/>
          <w:sz w:val="18"/>
          <w:szCs w:val="18"/>
        </w:rPr>
        <w:tab/>
      </w:r>
      <w:r w:rsidRPr="007B36B3">
        <w:rPr>
          <w:rFonts w:ascii="Verdana" w:hAnsi="Verdana" w:cs="Calibri"/>
          <w:color w:val="000000"/>
          <w:sz w:val="18"/>
          <w:szCs w:val="18"/>
        </w:rPr>
        <w:tab/>
        <w:t>10.273</w:t>
      </w:r>
      <w:r w:rsidRPr="007B36B3">
        <w:rPr>
          <w:rFonts w:ascii="Verdana" w:hAnsi="Verdana" w:cs="Calibri"/>
          <w:color w:val="000000"/>
          <w:sz w:val="18"/>
          <w:szCs w:val="18"/>
        </w:rPr>
        <w:tab/>
        <w:t>9.747</w:t>
      </w:r>
      <w:r w:rsidRPr="007B36B3">
        <w:rPr>
          <w:rFonts w:ascii="Verdana" w:hAnsi="Verdana" w:cs="Calibri"/>
          <w:color w:val="000000"/>
          <w:sz w:val="18"/>
          <w:szCs w:val="18"/>
        </w:rPr>
        <w:tab/>
        <w:t>5%</w:t>
      </w:r>
      <w:r w:rsidRPr="007B36B3">
        <w:rPr>
          <w:rFonts w:ascii="Verdana" w:hAnsi="Verdana" w:cs="Calibri"/>
          <w:color w:val="000000"/>
          <w:sz w:val="18"/>
          <w:szCs w:val="18"/>
        </w:rPr>
        <w:tab/>
      </w:r>
      <w:r w:rsidRPr="007B36B3">
        <w:rPr>
          <w:rFonts w:ascii="Verdana" w:hAnsi="Verdana" w:cs="Calibri"/>
          <w:color w:val="000000"/>
          <w:sz w:val="18"/>
          <w:szCs w:val="18"/>
        </w:rPr>
        <w:tab/>
        <w:t>17.214</w:t>
      </w:r>
      <w:r w:rsidRPr="007B36B3">
        <w:rPr>
          <w:rFonts w:ascii="Verdana" w:hAnsi="Verdana" w:cs="Calibri"/>
          <w:color w:val="000000"/>
          <w:sz w:val="18"/>
          <w:szCs w:val="18"/>
        </w:rPr>
        <w:tab/>
        <w:t>15.721</w:t>
      </w:r>
      <w:r w:rsidRPr="007B36B3">
        <w:rPr>
          <w:rFonts w:ascii="Verdana" w:hAnsi="Verdana" w:cs="Calibri"/>
          <w:color w:val="000000"/>
          <w:sz w:val="18"/>
          <w:szCs w:val="18"/>
        </w:rPr>
        <w:tab/>
        <w:t>9%</w:t>
      </w:r>
    </w:p>
    <w:p w:rsidR="007B36B3" w:rsidRPr="007B36B3" w:rsidRDefault="007B36B3" w:rsidP="007B36B3">
      <w:pPr>
        <w:rPr>
          <w:rFonts w:ascii="Verdana" w:hAnsi="Verdana" w:cs="Calibri"/>
          <w:color w:val="000000"/>
          <w:sz w:val="18"/>
          <w:szCs w:val="18"/>
        </w:rPr>
      </w:pPr>
      <w:r w:rsidRPr="007B36B3">
        <w:rPr>
          <w:rFonts w:ascii="Verdana" w:hAnsi="Verdana" w:cs="Calibri"/>
          <w:color w:val="000000"/>
          <w:sz w:val="18"/>
          <w:szCs w:val="18"/>
        </w:rPr>
        <w:t>Utili operativi</w:t>
      </w:r>
      <w:r w:rsidRPr="007B36B3">
        <w:rPr>
          <w:rFonts w:ascii="Verdana" w:hAnsi="Verdana" w:cs="Calibri"/>
          <w:color w:val="000000"/>
          <w:sz w:val="18"/>
          <w:szCs w:val="18"/>
        </w:rPr>
        <w:tab/>
      </w:r>
      <w:r w:rsidRPr="007B36B3">
        <w:rPr>
          <w:rFonts w:ascii="Verdana" w:hAnsi="Verdana" w:cs="Calibri"/>
          <w:color w:val="000000"/>
          <w:sz w:val="18"/>
          <w:szCs w:val="18"/>
        </w:rPr>
        <w:tab/>
      </w:r>
      <w:r w:rsidRPr="007B36B3">
        <w:rPr>
          <w:rFonts w:ascii="Verdana" w:hAnsi="Verdana" w:cs="Calibri"/>
          <w:color w:val="000000"/>
          <w:sz w:val="18"/>
          <w:szCs w:val="18"/>
        </w:rPr>
        <w:tab/>
        <w:t>1.366</w:t>
      </w:r>
      <w:r w:rsidRPr="007B36B3">
        <w:rPr>
          <w:rFonts w:ascii="Verdana" w:hAnsi="Verdana" w:cs="Calibri"/>
          <w:color w:val="000000"/>
          <w:sz w:val="18"/>
          <w:szCs w:val="18"/>
        </w:rPr>
        <w:tab/>
        <w:t>1.315</w:t>
      </w:r>
      <w:r w:rsidRPr="007B36B3">
        <w:rPr>
          <w:rFonts w:ascii="Verdana" w:hAnsi="Verdana" w:cs="Calibri"/>
          <w:color w:val="000000"/>
          <w:sz w:val="18"/>
          <w:szCs w:val="18"/>
        </w:rPr>
        <w:tab/>
        <w:t>4%</w:t>
      </w:r>
      <w:r w:rsidRPr="007B36B3">
        <w:rPr>
          <w:rFonts w:ascii="Verdana" w:hAnsi="Verdana" w:cs="Calibri"/>
          <w:color w:val="000000"/>
          <w:sz w:val="18"/>
          <w:szCs w:val="18"/>
        </w:rPr>
        <w:tab/>
      </w:r>
      <w:r w:rsidRPr="007B36B3">
        <w:rPr>
          <w:rFonts w:ascii="Verdana" w:hAnsi="Verdana" w:cs="Calibri"/>
          <w:color w:val="000000"/>
          <w:sz w:val="18"/>
          <w:szCs w:val="18"/>
        </w:rPr>
        <w:tab/>
        <w:t>1.943</w:t>
      </w:r>
      <w:r w:rsidRPr="007B36B3">
        <w:rPr>
          <w:rFonts w:ascii="Verdana" w:hAnsi="Verdana" w:cs="Calibri"/>
          <w:color w:val="000000"/>
          <w:sz w:val="18"/>
          <w:szCs w:val="18"/>
        </w:rPr>
        <w:tab/>
        <w:t>1.734</w:t>
      </w:r>
      <w:r w:rsidRPr="007B36B3">
        <w:rPr>
          <w:rFonts w:ascii="Verdana" w:hAnsi="Verdana" w:cs="Calibri"/>
          <w:color w:val="000000"/>
          <w:sz w:val="18"/>
          <w:szCs w:val="18"/>
        </w:rPr>
        <w:tab/>
        <w:t>12%</w:t>
      </w:r>
    </w:p>
    <w:p w:rsidR="007B36B3" w:rsidRPr="007B36B3" w:rsidRDefault="007B36B3" w:rsidP="007B36B3">
      <w:pPr>
        <w:rPr>
          <w:rFonts w:ascii="Verdana" w:hAnsi="Verdana" w:cs="Calibri"/>
          <w:color w:val="000000"/>
          <w:sz w:val="18"/>
          <w:szCs w:val="18"/>
        </w:rPr>
      </w:pPr>
      <w:r w:rsidRPr="007B36B3">
        <w:rPr>
          <w:rFonts w:ascii="Verdana" w:hAnsi="Verdana" w:cs="Calibri"/>
          <w:color w:val="000000"/>
          <w:sz w:val="18"/>
          <w:szCs w:val="18"/>
        </w:rPr>
        <w:t>Utile netto</w:t>
      </w:r>
      <w:r w:rsidRPr="007B36B3">
        <w:rPr>
          <w:rFonts w:ascii="Verdana" w:hAnsi="Verdana" w:cs="Calibri"/>
          <w:color w:val="000000"/>
          <w:sz w:val="18"/>
          <w:szCs w:val="18"/>
        </w:rPr>
        <w:tab/>
      </w:r>
      <w:r w:rsidRPr="007B36B3">
        <w:rPr>
          <w:rFonts w:ascii="Verdana" w:hAnsi="Verdana" w:cs="Calibri"/>
          <w:color w:val="000000"/>
          <w:sz w:val="18"/>
          <w:szCs w:val="18"/>
        </w:rPr>
        <w:tab/>
      </w:r>
      <w:r w:rsidRPr="007B36B3">
        <w:rPr>
          <w:rFonts w:ascii="Verdana" w:hAnsi="Verdana" w:cs="Calibri"/>
          <w:color w:val="000000"/>
          <w:sz w:val="18"/>
          <w:szCs w:val="18"/>
        </w:rPr>
        <w:tab/>
        <w:t>1.010</w:t>
      </w:r>
      <w:r w:rsidRPr="007B36B3">
        <w:rPr>
          <w:rFonts w:ascii="Verdana" w:hAnsi="Verdana" w:cs="Calibri"/>
          <w:color w:val="000000"/>
          <w:sz w:val="18"/>
          <w:szCs w:val="18"/>
        </w:rPr>
        <w:tab/>
        <w:t>1.103</w:t>
      </w:r>
      <w:r w:rsidRPr="007B36B3">
        <w:rPr>
          <w:rFonts w:ascii="Verdana" w:hAnsi="Verdana" w:cs="Calibri"/>
          <w:color w:val="000000"/>
          <w:sz w:val="18"/>
          <w:szCs w:val="18"/>
        </w:rPr>
        <w:tab/>
        <w:t>-8%</w:t>
      </w:r>
      <w:r w:rsidRPr="007B36B3">
        <w:rPr>
          <w:rFonts w:ascii="Verdana" w:hAnsi="Verdana" w:cs="Calibri"/>
          <w:color w:val="000000"/>
          <w:sz w:val="18"/>
          <w:szCs w:val="18"/>
        </w:rPr>
        <w:tab/>
      </w:r>
      <w:r w:rsidRPr="007B36B3">
        <w:rPr>
          <w:rFonts w:ascii="Verdana" w:hAnsi="Verdana" w:cs="Calibri"/>
          <w:color w:val="000000"/>
          <w:sz w:val="18"/>
          <w:szCs w:val="18"/>
        </w:rPr>
        <w:tab/>
        <w:t>1.350</w:t>
      </w:r>
      <w:r w:rsidRPr="007B36B3">
        <w:rPr>
          <w:rFonts w:ascii="Verdana" w:hAnsi="Verdana" w:cs="Calibri"/>
          <w:color w:val="000000"/>
          <w:sz w:val="18"/>
          <w:szCs w:val="18"/>
        </w:rPr>
        <w:tab/>
        <w:t>139</w:t>
      </w:r>
      <w:r w:rsidRPr="007B36B3">
        <w:rPr>
          <w:rFonts w:ascii="Verdana" w:hAnsi="Verdana" w:cs="Calibri"/>
          <w:color w:val="000000"/>
          <w:sz w:val="18"/>
          <w:szCs w:val="18"/>
        </w:rPr>
        <w:tab/>
        <w:t>871%</w:t>
      </w:r>
    </w:p>
    <w:p w:rsidR="007B36B3" w:rsidRPr="007B36B3" w:rsidRDefault="007B36B3" w:rsidP="007B36B3">
      <w:pPr>
        <w:rPr>
          <w:rFonts w:ascii="Verdana" w:hAnsi="Verdana" w:cs="Calibri"/>
          <w:color w:val="000000"/>
          <w:sz w:val="18"/>
          <w:szCs w:val="18"/>
        </w:rPr>
      </w:pPr>
      <w:r w:rsidRPr="007B36B3">
        <w:rPr>
          <w:rFonts w:ascii="Verdana" w:hAnsi="Verdana" w:cs="Calibri"/>
          <w:color w:val="000000"/>
          <w:sz w:val="18"/>
          <w:szCs w:val="18"/>
        </w:rPr>
        <w:t>Adeguamenti negativi (positivi)</w:t>
      </w:r>
    </w:p>
    <w:p w:rsidR="007B36B3" w:rsidRPr="007B36B3" w:rsidRDefault="007B36B3" w:rsidP="007B36B3">
      <w:pPr>
        <w:rPr>
          <w:rFonts w:ascii="Verdana" w:hAnsi="Verdana" w:cs="Calibri"/>
          <w:color w:val="000000"/>
          <w:sz w:val="18"/>
          <w:szCs w:val="18"/>
        </w:rPr>
      </w:pPr>
      <w:r w:rsidRPr="007B36B3">
        <w:rPr>
          <w:rFonts w:ascii="Verdana" w:hAnsi="Verdana" w:cs="Calibri"/>
          <w:color w:val="000000"/>
          <w:sz w:val="18"/>
          <w:szCs w:val="18"/>
        </w:rPr>
        <w:t>da riforma fiscale</w:t>
      </w:r>
      <w:r w:rsidRPr="007B36B3">
        <w:rPr>
          <w:rFonts w:ascii="Verdana" w:hAnsi="Verdana" w:cs="Calibri"/>
          <w:color w:val="000000"/>
          <w:sz w:val="18"/>
          <w:szCs w:val="18"/>
        </w:rPr>
        <w:tab/>
      </w:r>
      <w:r w:rsidRPr="007B36B3">
        <w:rPr>
          <w:rFonts w:ascii="Verdana" w:hAnsi="Verdana" w:cs="Calibri"/>
          <w:color w:val="000000"/>
          <w:sz w:val="18"/>
          <w:szCs w:val="18"/>
        </w:rPr>
        <w:tab/>
      </w:r>
      <w:r w:rsidRPr="007B36B3">
        <w:rPr>
          <w:rFonts w:ascii="Verdana" w:hAnsi="Verdana" w:cs="Calibri"/>
          <w:color w:val="000000"/>
          <w:sz w:val="18"/>
          <w:szCs w:val="18"/>
        </w:rPr>
        <w:tab/>
        <w:t>(207)</w:t>
      </w:r>
      <w:r w:rsidRPr="007B36B3">
        <w:rPr>
          <w:rFonts w:ascii="Verdana" w:hAnsi="Verdana" w:cs="Calibri"/>
          <w:color w:val="000000"/>
          <w:sz w:val="18"/>
          <w:szCs w:val="18"/>
        </w:rPr>
        <w:tab/>
      </w:r>
      <w:r w:rsidRPr="007B36B3">
        <w:rPr>
          <w:rFonts w:ascii="Verdana" w:hAnsi="Verdana" w:cs="Calibri"/>
          <w:color w:val="000000"/>
          <w:sz w:val="18"/>
          <w:szCs w:val="18"/>
        </w:rPr>
        <w:tab/>
      </w:r>
      <w:r w:rsidRPr="007B36B3">
        <w:rPr>
          <w:rFonts w:ascii="Verdana" w:hAnsi="Verdana" w:cs="Calibri"/>
          <w:color w:val="000000"/>
          <w:sz w:val="18"/>
          <w:szCs w:val="18"/>
        </w:rPr>
        <w:tab/>
      </w:r>
      <w:r w:rsidRPr="007B36B3">
        <w:rPr>
          <w:rFonts w:ascii="Verdana" w:hAnsi="Verdana" w:cs="Calibri"/>
          <w:color w:val="000000"/>
          <w:sz w:val="18"/>
          <w:szCs w:val="18"/>
        </w:rPr>
        <w:tab/>
        <w:t>1.032</w:t>
      </w:r>
    </w:p>
    <w:p w:rsidR="007B36B3" w:rsidRDefault="007B36B3" w:rsidP="007B36B3">
      <w:pPr>
        <w:rPr>
          <w:rFonts w:ascii="Verdana" w:hAnsi="Verdana" w:cs="Calibri"/>
          <w:color w:val="000000"/>
          <w:sz w:val="18"/>
          <w:szCs w:val="18"/>
        </w:rPr>
      </w:pPr>
      <w:r w:rsidRPr="007B36B3">
        <w:rPr>
          <w:rFonts w:ascii="Verdana" w:hAnsi="Verdana" w:cs="Calibri"/>
          <w:color w:val="000000"/>
          <w:sz w:val="18"/>
          <w:szCs w:val="18"/>
        </w:rPr>
        <w:t>Utile netto esclusa riforma fiscale</w:t>
      </w:r>
    </w:p>
    <w:p w:rsidR="007B36B3" w:rsidRPr="007B36B3" w:rsidRDefault="007B36B3" w:rsidP="007B36B3">
      <w:pPr>
        <w:rPr>
          <w:rFonts w:ascii="Verdana" w:hAnsi="Verdana" w:cs="Calibri"/>
          <w:color w:val="000000"/>
          <w:sz w:val="18"/>
          <w:szCs w:val="18"/>
        </w:rPr>
      </w:pPr>
      <w:r>
        <w:rPr>
          <w:rFonts w:ascii="Verdana" w:hAnsi="Verdana" w:cs="Calibri"/>
          <w:color w:val="000000"/>
          <w:sz w:val="18"/>
          <w:szCs w:val="18"/>
        </w:rPr>
        <w:tab/>
      </w:r>
      <w:r w:rsidRPr="007B36B3">
        <w:rPr>
          <w:rFonts w:ascii="Verdana" w:hAnsi="Verdana" w:cs="Calibri"/>
          <w:color w:val="000000"/>
          <w:sz w:val="18"/>
          <w:szCs w:val="18"/>
        </w:rPr>
        <w:tab/>
      </w:r>
      <w:r w:rsidRPr="007B36B3">
        <w:rPr>
          <w:rFonts w:ascii="Verdana" w:hAnsi="Verdana" w:cs="Calibri"/>
          <w:color w:val="000000"/>
          <w:sz w:val="18"/>
          <w:szCs w:val="18"/>
        </w:rPr>
        <w:tab/>
      </w:r>
      <w:r w:rsidRPr="007B36B3">
        <w:rPr>
          <w:rFonts w:ascii="Verdana" w:hAnsi="Verdana" w:cs="Calibri"/>
          <w:color w:val="000000"/>
          <w:sz w:val="18"/>
          <w:szCs w:val="18"/>
        </w:rPr>
        <w:tab/>
        <w:t>1.010</w:t>
      </w:r>
      <w:r w:rsidRPr="007B36B3">
        <w:rPr>
          <w:rFonts w:ascii="Verdana" w:hAnsi="Verdana" w:cs="Calibri"/>
          <w:color w:val="000000"/>
          <w:sz w:val="18"/>
          <w:szCs w:val="18"/>
        </w:rPr>
        <w:tab/>
        <w:t>896</w:t>
      </w:r>
      <w:r w:rsidRPr="007B36B3">
        <w:rPr>
          <w:rFonts w:ascii="Verdana" w:hAnsi="Verdana" w:cs="Calibri"/>
          <w:color w:val="000000"/>
          <w:sz w:val="18"/>
          <w:szCs w:val="18"/>
        </w:rPr>
        <w:tab/>
        <w:t>13%</w:t>
      </w:r>
      <w:r w:rsidRPr="007B36B3">
        <w:rPr>
          <w:rFonts w:ascii="Verdana" w:hAnsi="Verdana" w:cs="Calibri"/>
          <w:color w:val="000000"/>
          <w:sz w:val="18"/>
          <w:szCs w:val="18"/>
        </w:rPr>
        <w:tab/>
      </w:r>
      <w:r w:rsidRPr="007B36B3">
        <w:rPr>
          <w:rFonts w:ascii="Verdana" w:hAnsi="Verdana" w:cs="Calibri"/>
          <w:color w:val="000000"/>
          <w:sz w:val="18"/>
          <w:szCs w:val="18"/>
        </w:rPr>
        <w:tab/>
        <w:t>1.350</w:t>
      </w:r>
      <w:r w:rsidRPr="007B36B3">
        <w:rPr>
          <w:rFonts w:ascii="Verdana" w:hAnsi="Verdana" w:cs="Calibri"/>
          <w:color w:val="000000"/>
          <w:sz w:val="18"/>
          <w:szCs w:val="18"/>
        </w:rPr>
        <w:tab/>
        <w:t>1.171</w:t>
      </w:r>
      <w:r w:rsidRPr="007B36B3">
        <w:rPr>
          <w:rFonts w:ascii="Verdana" w:hAnsi="Verdana" w:cs="Calibri"/>
          <w:color w:val="000000"/>
          <w:sz w:val="18"/>
          <w:szCs w:val="18"/>
        </w:rPr>
        <w:tab/>
        <w:t>15%</w:t>
      </w:r>
    </w:p>
    <w:p w:rsidR="007B36B3" w:rsidRPr="007B36B3" w:rsidRDefault="007B36B3" w:rsidP="007B36B3">
      <w:pPr>
        <w:rPr>
          <w:rFonts w:ascii="Verdana" w:hAnsi="Verdana" w:cs="Calibri"/>
          <w:color w:val="000000"/>
          <w:szCs w:val="22"/>
        </w:rPr>
      </w:pPr>
    </w:p>
    <w:p w:rsidR="007B36B3" w:rsidRPr="007B36B3" w:rsidRDefault="007B36B3" w:rsidP="007B36B3">
      <w:pPr>
        <w:jc w:val="both"/>
        <w:rPr>
          <w:rFonts w:ascii="Verdana" w:hAnsi="Verdana" w:cs="Calibri"/>
          <w:color w:val="000000"/>
          <w:szCs w:val="22"/>
        </w:rPr>
      </w:pPr>
      <w:r w:rsidRPr="007B36B3">
        <w:rPr>
          <w:rFonts w:ascii="Verdana" w:hAnsi="Verdana" w:cs="Calibri"/>
          <w:color w:val="000000"/>
          <w:szCs w:val="22"/>
        </w:rPr>
        <w:t xml:space="preserve">Per l'analisi di vendite nette e utili operativi, consultare le sezioni Agricoltura &amp; Turf e Construction e Forestale di seguito. I risultati di Wirtgen sono inclusi per l'intero periodo 2019 corrispondente, mentre l'equivalente trimestre 2018 </w:t>
      </w:r>
      <w:r w:rsidRPr="007B36B3">
        <w:rPr>
          <w:rFonts w:ascii="Verdana" w:hAnsi="Verdana" w:cs="Calibri"/>
          <w:color w:val="000000"/>
          <w:szCs w:val="22"/>
        </w:rPr>
        <w:lastRenderedPageBreak/>
        <w:t>comprendeva solo quattro mesi. I due mesi aggiuntivi hanno influito sui risultati di vendita netti dell'attuale trimestre per circa il 3%.</w:t>
      </w:r>
    </w:p>
    <w:p w:rsidR="007B36B3" w:rsidRPr="007B36B3" w:rsidRDefault="007B36B3" w:rsidP="007B36B3">
      <w:pPr>
        <w:rPr>
          <w:rFonts w:ascii="Verdana" w:hAnsi="Verdana" w:cs="Calibri"/>
          <w:color w:val="000000"/>
          <w:szCs w:val="22"/>
        </w:rPr>
      </w:pPr>
    </w:p>
    <w:p w:rsidR="007B36B3" w:rsidRPr="007B36B3" w:rsidRDefault="007B36B3" w:rsidP="007B36B3">
      <w:pPr>
        <w:rPr>
          <w:rFonts w:ascii="Verdana" w:hAnsi="Verdana" w:cs="Calibri"/>
          <w:b/>
          <w:color w:val="000000"/>
          <w:sz w:val="18"/>
          <w:szCs w:val="18"/>
        </w:rPr>
      </w:pPr>
      <w:r w:rsidRPr="007B36B3">
        <w:rPr>
          <w:rFonts w:ascii="Verdana" w:hAnsi="Verdana" w:cs="Calibri"/>
          <w:b/>
          <w:color w:val="000000"/>
          <w:sz w:val="18"/>
          <w:szCs w:val="18"/>
        </w:rPr>
        <w:t>Agricoltura &amp; Turf</w:t>
      </w:r>
      <w:r w:rsidRPr="007B36B3">
        <w:rPr>
          <w:rFonts w:ascii="Verdana" w:hAnsi="Verdana" w:cs="Calibri"/>
          <w:b/>
          <w:color w:val="000000"/>
          <w:sz w:val="18"/>
          <w:szCs w:val="18"/>
        </w:rPr>
        <w:tab/>
        <w:t xml:space="preserve"> </w:t>
      </w:r>
      <w:r w:rsidRPr="007B36B3">
        <w:rPr>
          <w:rFonts w:ascii="Verdana" w:hAnsi="Verdana" w:cs="Calibri"/>
          <w:b/>
          <w:color w:val="000000"/>
          <w:sz w:val="18"/>
          <w:szCs w:val="18"/>
        </w:rPr>
        <w:tab/>
        <w:t>Secondo Trimestre</w:t>
      </w:r>
      <w:r w:rsidRPr="007B36B3">
        <w:rPr>
          <w:rFonts w:ascii="Verdana" w:hAnsi="Verdana" w:cs="Calibri"/>
          <w:b/>
          <w:color w:val="000000"/>
          <w:sz w:val="18"/>
          <w:szCs w:val="18"/>
        </w:rPr>
        <w:tab/>
      </w:r>
      <w:r w:rsidRPr="007B36B3">
        <w:rPr>
          <w:rFonts w:ascii="Verdana" w:hAnsi="Verdana" w:cs="Calibri"/>
          <w:b/>
          <w:color w:val="000000"/>
          <w:sz w:val="18"/>
          <w:szCs w:val="18"/>
        </w:rPr>
        <w:tab/>
        <w:t>Anno su anno</w:t>
      </w:r>
    </w:p>
    <w:p w:rsidR="007B36B3" w:rsidRPr="007B36B3" w:rsidRDefault="007B36B3" w:rsidP="007B36B3">
      <w:pPr>
        <w:rPr>
          <w:rFonts w:ascii="Verdana" w:hAnsi="Verdana" w:cs="Calibri"/>
          <w:color w:val="000000"/>
          <w:sz w:val="18"/>
          <w:szCs w:val="18"/>
        </w:rPr>
      </w:pPr>
      <w:r w:rsidRPr="007B36B3">
        <w:rPr>
          <w:rFonts w:ascii="Verdana" w:hAnsi="Verdana" w:cs="Calibri"/>
          <w:color w:val="000000"/>
          <w:sz w:val="18"/>
          <w:szCs w:val="18"/>
        </w:rPr>
        <w:t>Valori in milioni di dollari</w:t>
      </w:r>
      <w:r w:rsidRPr="007B36B3">
        <w:rPr>
          <w:rFonts w:ascii="Verdana" w:hAnsi="Verdana" w:cs="Calibri"/>
          <w:color w:val="000000"/>
          <w:sz w:val="18"/>
          <w:szCs w:val="18"/>
        </w:rPr>
        <w:tab/>
        <w:t>2019</w:t>
      </w:r>
      <w:r w:rsidRPr="007B36B3">
        <w:rPr>
          <w:rFonts w:ascii="Verdana" w:hAnsi="Verdana" w:cs="Calibri"/>
          <w:color w:val="000000"/>
          <w:sz w:val="18"/>
          <w:szCs w:val="18"/>
        </w:rPr>
        <w:tab/>
        <w:t>2018</w:t>
      </w:r>
      <w:r w:rsidRPr="007B36B3">
        <w:rPr>
          <w:rFonts w:ascii="Verdana" w:hAnsi="Verdana" w:cs="Calibri"/>
          <w:color w:val="000000"/>
          <w:sz w:val="18"/>
          <w:szCs w:val="18"/>
        </w:rPr>
        <w:tab/>
        <w:t>variazione %</w:t>
      </w:r>
      <w:r w:rsidRPr="007B36B3">
        <w:rPr>
          <w:rFonts w:ascii="Verdana" w:hAnsi="Verdana" w:cs="Calibri"/>
          <w:color w:val="000000"/>
          <w:sz w:val="18"/>
          <w:szCs w:val="18"/>
        </w:rPr>
        <w:tab/>
        <w:t>2019</w:t>
      </w:r>
      <w:r w:rsidRPr="007B36B3">
        <w:rPr>
          <w:rFonts w:ascii="Verdana" w:hAnsi="Verdana" w:cs="Calibri"/>
          <w:color w:val="000000"/>
          <w:sz w:val="18"/>
          <w:szCs w:val="18"/>
        </w:rPr>
        <w:tab/>
        <w:t>2018</w:t>
      </w:r>
      <w:r w:rsidRPr="007B36B3">
        <w:rPr>
          <w:rFonts w:ascii="Verdana" w:hAnsi="Verdana" w:cs="Calibri"/>
          <w:color w:val="000000"/>
          <w:sz w:val="18"/>
          <w:szCs w:val="18"/>
        </w:rPr>
        <w:tab/>
        <w:t>variazione %</w:t>
      </w:r>
    </w:p>
    <w:p w:rsidR="007B36B3" w:rsidRPr="007B36B3" w:rsidRDefault="007B36B3" w:rsidP="007B36B3">
      <w:pPr>
        <w:rPr>
          <w:rFonts w:ascii="Verdana" w:hAnsi="Verdana" w:cs="Calibri"/>
          <w:color w:val="000000"/>
          <w:sz w:val="18"/>
          <w:szCs w:val="18"/>
        </w:rPr>
      </w:pPr>
      <w:r w:rsidRPr="007B36B3">
        <w:rPr>
          <w:rFonts w:ascii="Verdana" w:hAnsi="Verdana" w:cs="Calibri"/>
          <w:color w:val="000000"/>
          <w:sz w:val="18"/>
          <w:szCs w:val="18"/>
        </w:rPr>
        <w:t>Vendite nette</w:t>
      </w:r>
      <w:r w:rsidRPr="007B36B3">
        <w:rPr>
          <w:rFonts w:ascii="Verdana" w:hAnsi="Verdana" w:cs="Calibri"/>
          <w:color w:val="000000"/>
          <w:sz w:val="18"/>
          <w:szCs w:val="18"/>
        </w:rPr>
        <w:tab/>
      </w:r>
      <w:r w:rsidRPr="007B36B3">
        <w:rPr>
          <w:rFonts w:ascii="Verdana" w:hAnsi="Verdana" w:cs="Calibri"/>
          <w:color w:val="000000"/>
          <w:sz w:val="18"/>
          <w:szCs w:val="18"/>
        </w:rPr>
        <w:tab/>
      </w:r>
      <w:r w:rsidRPr="007B36B3">
        <w:rPr>
          <w:rFonts w:ascii="Verdana" w:hAnsi="Verdana" w:cs="Calibri"/>
          <w:color w:val="000000"/>
          <w:sz w:val="18"/>
          <w:szCs w:val="18"/>
        </w:rPr>
        <w:tab/>
        <w:t>7.282</w:t>
      </w:r>
      <w:r w:rsidRPr="007B36B3">
        <w:rPr>
          <w:rFonts w:ascii="Verdana" w:hAnsi="Verdana" w:cs="Calibri"/>
          <w:color w:val="000000"/>
          <w:sz w:val="18"/>
          <w:szCs w:val="18"/>
        </w:rPr>
        <w:tab/>
        <w:t>7.049</w:t>
      </w:r>
      <w:r w:rsidRPr="007B36B3">
        <w:rPr>
          <w:rFonts w:ascii="Verdana" w:hAnsi="Verdana" w:cs="Calibri"/>
          <w:color w:val="000000"/>
          <w:sz w:val="18"/>
          <w:szCs w:val="18"/>
        </w:rPr>
        <w:tab/>
        <w:t>3%</w:t>
      </w:r>
      <w:r w:rsidRPr="007B36B3">
        <w:rPr>
          <w:rFonts w:ascii="Verdana" w:hAnsi="Verdana" w:cs="Calibri"/>
          <w:color w:val="000000"/>
          <w:sz w:val="18"/>
          <w:szCs w:val="18"/>
        </w:rPr>
        <w:tab/>
      </w:r>
      <w:r w:rsidRPr="007B36B3">
        <w:rPr>
          <w:rFonts w:ascii="Verdana" w:hAnsi="Verdana" w:cs="Calibri"/>
          <w:color w:val="000000"/>
          <w:sz w:val="18"/>
          <w:szCs w:val="18"/>
        </w:rPr>
        <w:tab/>
        <w:t>11.963</w:t>
      </w:r>
      <w:r w:rsidRPr="007B36B3">
        <w:rPr>
          <w:rFonts w:ascii="Verdana" w:hAnsi="Verdana" w:cs="Calibri"/>
          <w:color w:val="000000"/>
          <w:sz w:val="18"/>
          <w:szCs w:val="18"/>
        </w:rPr>
        <w:tab/>
        <w:t>11.292</w:t>
      </w:r>
      <w:r w:rsidRPr="007B36B3">
        <w:rPr>
          <w:rFonts w:ascii="Verdana" w:hAnsi="Verdana" w:cs="Calibri"/>
          <w:color w:val="000000"/>
          <w:sz w:val="18"/>
          <w:szCs w:val="18"/>
        </w:rPr>
        <w:tab/>
        <w:t>6%</w:t>
      </w:r>
    </w:p>
    <w:p w:rsidR="007B36B3" w:rsidRPr="007B36B3" w:rsidRDefault="007B36B3" w:rsidP="007B36B3">
      <w:pPr>
        <w:rPr>
          <w:rFonts w:ascii="Verdana" w:hAnsi="Verdana" w:cs="Calibri"/>
          <w:color w:val="000000"/>
          <w:sz w:val="18"/>
          <w:szCs w:val="18"/>
        </w:rPr>
      </w:pPr>
      <w:r w:rsidRPr="007B36B3">
        <w:rPr>
          <w:rFonts w:ascii="Verdana" w:hAnsi="Verdana" w:cs="Calibri"/>
          <w:color w:val="000000"/>
          <w:sz w:val="18"/>
          <w:szCs w:val="18"/>
        </w:rPr>
        <w:t>Utili operativi</w:t>
      </w:r>
      <w:r w:rsidRPr="007B36B3">
        <w:rPr>
          <w:rFonts w:ascii="Verdana" w:hAnsi="Verdana" w:cs="Calibri"/>
          <w:color w:val="000000"/>
          <w:sz w:val="18"/>
          <w:szCs w:val="18"/>
        </w:rPr>
        <w:tab/>
      </w:r>
      <w:r w:rsidRPr="007B36B3">
        <w:rPr>
          <w:rFonts w:ascii="Verdana" w:hAnsi="Verdana" w:cs="Calibri"/>
          <w:color w:val="000000"/>
          <w:sz w:val="18"/>
          <w:szCs w:val="18"/>
        </w:rPr>
        <w:tab/>
      </w:r>
      <w:r w:rsidRPr="007B36B3">
        <w:rPr>
          <w:rFonts w:ascii="Verdana" w:hAnsi="Verdana" w:cs="Calibri"/>
          <w:color w:val="000000"/>
          <w:sz w:val="18"/>
          <w:szCs w:val="18"/>
        </w:rPr>
        <w:tab/>
        <w:t>1.019</w:t>
      </w:r>
      <w:r w:rsidRPr="007B36B3">
        <w:rPr>
          <w:rFonts w:ascii="Verdana" w:hAnsi="Verdana" w:cs="Calibri"/>
          <w:color w:val="000000"/>
          <w:sz w:val="18"/>
          <w:szCs w:val="18"/>
        </w:rPr>
        <w:tab/>
        <w:t>1.056</w:t>
      </w:r>
      <w:r w:rsidRPr="007B36B3">
        <w:rPr>
          <w:rFonts w:ascii="Verdana" w:hAnsi="Verdana" w:cs="Calibri"/>
          <w:color w:val="000000"/>
          <w:sz w:val="18"/>
          <w:szCs w:val="18"/>
        </w:rPr>
        <w:tab/>
        <w:t>-4%</w:t>
      </w:r>
      <w:r w:rsidRPr="007B36B3">
        <w:rPr>
          <w:rFonts w:ascii="Verdana" w:hAnsi="Verdana" w:cs="Calibri"/>
          <w:color w:val="000000"/>
          <w:sz w:val="18"/>
          <w:szCs w:val="18"/>
        </w:rPr>
        <w:tab/>
      </w:r>
      <w:r w:rsidRPr="007B36B3">
        <w:rPr>
          <w:rFonts w:ascii="Verdana" w:hAnsi="Verdana" w:cs="Calibri"/>
          <w:color w:val="000000"/>
          <w:sz w:val="18"/>
          <w:szCs w:val="18"/>
        </w:rPr>
        <w:tab/>
        <w:t>1.367</w:t>
      </w:r>
      <w:r w:rsidRPr="007B36B3">
        <w:rPr>
          <w:rFonts w:ascii="Verdana" w:hAnsi="Verdana" w:cs="Calibri"/>
          <w:color w:val="000000"/>
          <w:sz w:val="18"/>
          <w:szCs w:val="18"/>
        </w:rPr>
        <w:tab/>
        <w:t>1.443</w:t>
      </w:r>
      <w:r w:rsidRPr="007B36B3">
        <w:rPr>
          <w:rFonts w:ascii="Verdana" w:hAnsi="Verdana" w:cs="Calibri"/>
          <w:color w:val="000000"/>
          <w:sz w:val="18"/>
          <w:szCs w:val="18"/>
        </w:rPr>
        <w:tab/>
        <w:t>-5%</w:t>
      </w:r>
    </w:p>
    <w:p w:rsidR="007B36B3" w:rsidRPr="007B36B3" w:rsidRDefault="007B36B3" w:rsidP="007B36B3">
      <w:pPr>
        <w:rPr>
          <w:rFonts w:ascii="Verdana" w:hAnsi="Verdana" w:cs="Calibri"/>
          <w:color w:val="000000"/>
          <w:sz w:val="18"/>
          <w:szCs w:val="18"/>
        </w:rPr>
      </w:pPr>
      <w:r w:rsidRPr="007B36B3">
        <w:rPr>
          <w:rFonts w:ascii="Verdana" w:hAnsi="Verdana" w:cs="Calibri"/>
          <w:color w:val="000000"/>
          <w:sz w:val="18"/>
          <w:szCs w:val="18"/>
        </w:rPr>
        <w:t>Margine operativo</w:t>
      </w:r>
      <w:r w:rsidRPr="007B36B3">
        <w:rPr>
          <w:rFonts w:ascii="Verdana" w:hAnsi="Verdana" w:cs="Calibri"/>
          <w:color w:val="000000"/>
          <w:sz w:val="18"/>
          <w:szCs w:val="18"/>
        </w:rPr>
        <w:tab/>
      </w:r>
      <w:r w:rsidRPr="007B36B3">
        <w:rPr>
          <w:rFonts w:ascii="Verdana" w:hAnsi="Verdana" w:cs="Calibri"/>
          <w:color w:val="000000"/>
          <w:sz w:val="18"/>
          <w:szCs w:val="18"/>
        </w:rPr>
        <w:tab/>
        <w:t>14%</w:t>
      </w:r>
      <w:r w:rsidRPr="007B36B3">
        <w:rPr>
          <w:rFonts w:ascii="Verdana" w:hAnsi="Verdana" w:cs="Calibri"/>
          <w:color w:val="000000"/>
          <w:sz w:val="18"/>
          <w:szCs w:val="18"/>
        </w:rPr>
        <w:tab/>
        <w:t>15%</w:t>
      </w:r>
      <w:r w:rsidRPr="007B36B3">
        <w:rPr>
          <w:rFonts w:ascii="Verdana" w:hAnsi="Verdana" w:cs="Calibri"/>
          <w:color w:val="000000"/>
          <w:sz w:val="18"/>
          <w:szCs w:val="18"/>
        </w:rPr>
        <w:tab/>
      </w:r>
      <w:r w:rsidRPr="007B36B3">
        <w:rPr>
          <w:rFonts w:ascii="Verdana" w:hAnsi="Verdana" w:cs="Calibri"/>
          <w:color w:val="000000"/>
          <w:sz w:val="18"/>
          <w:szCs w:val="18"/>
        </w:rPr>
        <w:tab/>
      </w:r>
      <w:r w:rsidRPr="007B36B3">
        <w:rPr>
          <w:rFonts w:ascii="Verdana" w:hAnsi="Verdana" w:cs="Calibri"/>
          <w:color w:val="000000"/>
          <w:sz w:val="18"/>
          <w:szCs w:val="18"/>
        </w:rPr>
        <w:tab/>
        <w:t>11,4%</w:t>
      </w:r>
      <w:r w:rsidRPr="007B36B3">
        <w:rPr>
          <w:rFonts w:ascii="Verdana" w:hAnsi="Verdana" w:cs="Calibri"/>
          <w:color w:val="000000"/>
          <w:sz w:val="18"/>
          <w:szCs w:val="18"/>
        </w:rPr>
        <w:tab/>
        <w:t>12,8%</w:t>
      </w:r>
    </w:p>
    <w:p w:rsidR="007B36B3" w:rsidRPr="007B36B3" w:rsidRDefault="007B36B3" w:rsidP="007B36B3">
      <w:pPr>
        <w:rPr>
          <w:rFonts w:ascii="Verdana" w:hAnsi="Verdana" w:cs="Calibri"/>
          <w:color w:val="000000"/>
          <w:sz w:val="18"/>
          <w:szCs w:val="18"/>
        </w:rPr>
      </w:pPr>
    </w:p>
    <w:p w:rsidR="007B36B3" w:rsidRPr="007B36B3" w:rsidRDefault="007B36B3" w:rsidP="007B36B3">
      <w:pPr>
        <w:jc w:val="both"/>
        <w:rPr>
          <w:rFonts w:ascii="Verdana" w:hAnsi="Verdana" w:cs="Calibri"/>
          <w:color w:val="000000"/>
          <w:szCs w:val="22"/>
        </w:rPr>
      </w:pPr>
      <w:r w:rsidRPr="007B36B3">
        <w:rPr>
          <w:rFonts w:ascii="Verdana" w:hAnsi="Verdana" w:cs="Calibri"/>
          <w:color w:val="000000"/>
          <w:szCs w:val="22"/>
        </w:rPr>
        <w:t>Le vendite della divisione Agricoltura &amp; Turf per il trimestre sono aumentate grazie ai maggiori volumi di consegne e all'ottimizzazione dei prezzi, parzialmente compensati dagli effetti sfavorevoli dei cambi valutari. L'utile operativo è diminuito principalmente a causa dei maggiori costi di produzione, degli effetti sfavorevoli dei cambi valutari, dei maggiori costi di ricerca e sviluppo, parzialmente compensati dall'ottimizzazione dei prezzi e dai maggiori volumi di consegne.</w:t>
      </w:r>
    </w:p>
    <w:p w:rsidR="007B36B3" w:rsidRPr="007B36B3" w:rsidRDefault="007B36B3" w:rsidP="007B36B3">
      <w:pPr>
        <w:rPr>
          <w:rFonts w:ascii="Verdana" w:hAnsi="Verdana" w:cs="Calibri"/>
          <w:color w:val="000000"/>
          <w:szCs w:val="22"/>
        </w:rPr>
      </w:pPr>
    </w:p>
    <w:p w:rsidR="007B36B3" w:rsidRPr="007B36B3" w:rsidRDefault="007B36B3" w:rsidP="007B36B3">
      <w:pPr>
        <w:rPr>
          <w:rFonts w:ascii="Verdana" w:hAnsi="Verdana" w:cs="Calibri"/>
          <w:b/>
          <w:color w:val="000000"/>
          <w:sz w:val="18"/>
          <w:szCs w:val="18"/>
        </w:rPr>
      </w:pPr>
      <w:r w:rsidRPr="007B36B3">
        <w:rPr>
          <w:rFonts w:ascii="Verdana" w:hAnsi="Verdana" w:cs="Calibri"/>
          <w:b/>
          <w:color w:val="000000"/>
          <w:sz w:val="18"/>
          <w:szCs w:val="18"/>
        </w:rPr>
        <w:t xml:space="preserve">Construction e Forestale </w:t>
      </w:r>
      <w:r w:rsidRPr="007B36B3">
        <w:rPr>
          <w:rFonts w:ascii="Verdana" w:hAnsi="Verdana" w:cs="Calibri"/>
          <w:b/>
          <w:color w:val="000000"/>
          <w:sz w:val="18"/>
          <w:szCs w:val="18"/>
        </w:rPr>
        <w:tab/>
        <w:t>Secondo Trimestre</w:t>
      </w:r>
      <w:r w:rsidRPr="007B36B3">
        <w:rPr>
          <w:rFonts w:ascii="Verdana" w:hAnsi="Verdana" w:cs="Calibri"/>
          <w:b/>
          <w:color w:val="000000"/>
          <w:sz w:val="18"/>
          <w:szCs w:val="18"/>
        </w:rPr>
        <w:tab/>
      </w:r>
      <w:r w:rsidRPr="007B36B3">
        <w:rPr>
          <w:rFonts w:ascii="Verdana" w:hAnsi="Verdana" w:cs="Calibri"/>
          <w:b/>
          <w:color w:val="000000"/>
          <w:sz w:val="18"/>
          <w:szCs w:val="18"/>
        </w:rPr>
        <w:tab/>
        <w:t>Ano su anno</w:t>
      </w:r>
    </w:p>
    <w:p w:rsidR="007B36B3" w:rsidRPr="007B36B3" w:rsidRDefault="007B36B3" w:rsidP="007B36B3">
      <w:pPr>
        <w:rPr>
          <w:rFonts w:ascii="Verdana" w:hAnsi="Verdana" w:cs="Calibri"/>
          <w:color w:val="000000"/>
          <w:sz w:val="18"/>
          <w:szCs w:val="18"/>
        </w:rPr>
      </w:pPr>
      <w:r w:rsidRPr="007B36B3">
        <w:rPr>
          <w:rFonts w:ascii="Verdana" w:hAnsi="Verdana" w:cs="Calibri"/>
          <w:color w:val="000000"/>
          <w:sz w:val="18"/>
          <w:szCs w:val="18"/>
        </w:rPr>
        <w:t>Valori in milioni di dollari</w:t>
      </w:r>
      <w:r w:rsidRPr="007B36B3">
        <w:rPr>
          <w:rFonts w:ascii="Verdana" w:hAnsi="Verdana" w:cs="Calibri"/>
          <w:color w:val="000000"/>
          <w:sz w:val="18"/>
          <w:szCs w:val="18"/>
        </w:rPr>
        <w:tab/>
        <w:t>2019</w:t>
      </w:r>
      <w:r w:rsidRPr="007B36B3">
        <w:rPr>
          <w:rFonts w:ascii="Verdana" w:hAnsi="Verdana" w:cs="Calibri"/>
          <w:color w:val="000000"/>
          <w:sz w:val="18"/>
          <w:szCs w:val="18"/>
        </w:rPr>
        <w:tab/>
        <w:t>2018</w:t>
      </w:r>
      <w:r w:rsidRPr="007B36B3">
        <w:rPr>
          <w:rFonts w:ascii="Verdana" w:hAnsi="Verdana" w:cs="Calibri"/>
          <w:color w:val="000000"/>
          <w:sz w:val="18"/>
          <w:szCs w:val="18"/>
        </w:rPr>
        <w:tab/>
        <w:t>variazione %</w:t>
      </w:r>
      <w:r w:rsidRPr="007B36B3">
        <w:rPr>
          <w:rFonts w:ascii="Verdana" w:hAnsi="Verdana" w:cs="Calibri"/>
          <w:color w:val="000000"/>
          <w:sz w:val="18"/>
          <w:szCs w:val="18"/>
        </w:rPr>
        <w:tab/>
        <w:t>2019</w:t>
      </w:r>
      <w:r w:rsidRPr="007B36B3">
        <w:rPr>
          <w:rFonts w:ascii="Verdana" w:hAnsi="Verdana" w:cs="Calibri"/>
          <w:color w:val="000000"/>
          <w:sz w:val="18"/>
          <w:szCs w:val="18"/>
        </w:rPr>
        <w:tab/>
        <w:t>2018</w:t>
      </w:r>
      <w:r w:rsidRPr="007B36B3">
        <w:rPr>
          <w:rFonts w:ascii="Verdana" w:hAnsi="Verdana" w:cs="Calibri"/>
          <w:color w:val="000000"/>
          <w:sz w:val="18"/>
          <w:szCs w:val="18"/>
        </w:rPr>
        <w:tab/>
        <w:t>variazione %</w:t>
      </w:r>
    </w:p>
    <w:p w:rsidR="007B36B3" w:rsidRPr="007B36B3" w:rsidRDefault="007B36B3" w:rsidP="007B36B3">
      <w:pPr>
        <w:rPr>
          <w:rFonts w:ascii="Verdana" w:hAnsi="Verdana" w:cs="Calibri"/>
          <w:color w:val="000000"/>
          <w:sz w:val="18"/>
          <w:szCs w:val="18"/>
        </w:rPr>
      </w:pPr>
      <w:r w:rsidRPr="007B36B3">
        <w:rPr>
          <w:rFonts w:ascii="Verdana" w:hAnsi="Verdana" w:cs="Calibri"/>
          <w:color w:val="000000"/>
          <w:sz w:val="18"/>
          <w:szCs w:val="18"/>
        </w:rPr>
        <w:t>Vendite nette</w:t>
      </w:r>
      <w:r w:rsidRPr="007B36B3">
        <w:rPr>
          <w:rFonts w:ascii="Verdana" w:hAnsi="Verdana" w:cs="Calibri"/>
          <w:color w:val="000000"/>
          <w:sz w:val="18"/>
          <w:szCs w:val="18"/>
        </w:rPr>
        <w:tab/>
      </w:r>
      <w:r w:rsidRPr="007B36B3">
        <w:rPr>
          <w:rFonts w:ascii="Verdana" w:hAnsi="Verdana" w:cs="Calibri"/>
          <w:color w:val="000000"/>
          <w:sz w:val="18"/>
          <w:szCs w:val="18"/>
        </w:rPr>
        <w:tab/>
      </w:r>
      <w:r w:rsidRPr="007B36B3">
        <w:rPr>
          <w:rFonts w:ascii="Verdana" w:hAnsi="Verdana" w:cs="Calibri"/>
          <w:color w:val="000000"/>
          <w:sz w:val="18"/>
          <w:szCs w:val="18"/>
        </w:rPr>
        <w:tab/>
        <w:t>2.991</w:t>
      </w:r>
      <w:r w:rsidRPr="007B36B3">
        <w:rPr>
          <w:rFonts w:ascii="Verdana" w:hAnsi="Verdana" w:cs="Calibri"/>
          <w:color w:val="000000"/>
          <w:sz w:val="18"/>
          <w:szCs w:val="18"/>
        </w:rPr>
        <w:tab/>
        <w:t>2.698</w:t>
      </w:r>
      <w:r w:rsidRPr="007B36B3">
        <w:rPr>
          <w:rFonts w:ascii="Verdana" w:hAnsi="Verdana" w:cs="Calibri"/>
          <w:color w:val="000000"/>
          <w:sz w:val="18"/>
          <w:szCs w:val="18"/>
        </w:rPr>
        <w:tab/>
        <w:t>11%</w:t>
      </w:r>
      <w:r w:rsidRPr="007B36B3">
        <w:rPr>
          <w:rFonts w:ascii="Verdana" w:hAnsi="Verdana" w:cs="Calibri"/>
          <w:color w:val="000000"/>
          <w:sz w:val="18"/>
          <w:szCs w:val="18"/>
        </w:rPr>
        <w:tab/>
      </w:r>
      <w:r w:rsidRPr="007B36B3">
        <w:rPr>
          <w:rFonts w:ascii="Verdana" w:hAnsi="Verdana" w:cs="Calibri"/>
          <w:color w:val="000000"/>
          <w:sz w:val="18"/>
          <w:szCs w:val="18"/>
        </w:rPr>
        <w:tab/>
        <w:t>5.251</w:t>
      </w:r>
      <w:r w:rsidRPr="007B36B3">
        <w:rPr>
          <w:rFonts w:ascii="Verdana" w:hAnsi="Verdana" w:cs="Calibri"/>
          <w:color w:val="000000"/>
          <w:sz w:val="18"/>
          <w:szCs w:val="18"/>
        </w:rPr>
        <w:tab/>
        <w:t>4.429</w:t>
      </w:r>
      <w:r w:rsidRPr="007B36B3">
        <w:rPr>
          <w:rFonts w:ascii="Verdana" w:hAnsi="Verdana" w:cs="Calibri"/>
          <w:color w:val="000000"/>
          <w:sz w:val="18"/>
          <w:szCs w:val="18"/>
        </w:rPr>
        <w:tab/>
        <w:t>19%</w:t>
      </w:r>
    </w:p>
    <w:p w:rsidR="007B36B3" w:rsidRPr="007B36B3" w:rsidRDefault="007B36B3" w:rsidP="007B36B3">
      <w:pPr>
        <w:rPr>
          <w:rFonts w:ascii="Verdana" w:hAnsi="Verdana" w:cs="Calibri"/>
          <w:color w:val="000000"/>
          <w:sz w:val="18"/>
          <w:szCs w:val="18"/>
        </w:rPr>
      </w:pPr>
      <w:r w:rsidRPr="007B36B3">
        <w:rPr>
          <w:rFonts w:ascii="Verdana" w:hAnsi="Verdana" w:cs="Calibri"/>
          <w:color w:val="000000"/>
          <w:sz w:val="18"/>
          <w:szCs w:val="18"/>
        </w:rPr>
        <w:t>Utili operativi</w:t>
      </w:r>
      <w:r w:rsidRPr="007B36B3">
        <w:rPr>
          <w:rFonts w:ascii="Verdana" w:hAnsi="Verdana" w:cs="Calibri"/>
          <w:color w:val="000000"/>
          <w:sz w:val="18"/>
          <w:szCs w:val="18"/>
        </w:rPr>
        <w:tab/>
      </w:r>
      <w:r w:rsidRPr="007B36B3">
        <w:rPr>
          <w:rFonts w:ascii="Verdana" w:hAnsi="Verdana" w:cs="Calibri"/>
          <w:color w:val="000000"/>
          <w:sz w:val="18"/>
          <w:szCs w:val="18"/>
        </w:rPr>
        <w:tab/>
      </w:r>
      <w:r w:rsidRPr="007B36B3">
        <w:rPr>
          <w:rFonts w:ascii="Verdana" w:hAnsi="Verdana" w:cs="Calibri"/>
          <w:color w:val="000000"/>
          <w:sz w:val="18"/>
          <w:szCs w:val="18"/>
        </w:rPr>
        <w:tab/>
        <w:t>347</w:t>
      </w:r>
      <w:r w:rsidRPr="007B36B3">
        <w:rPr>
          <w:rFonts w:ascii="Verdana" w:hAnsi="Verdana" w:cs="Calibri"/>
          <w:color w:val="000000"/>
          <w:sz w:val="18"/>
          <w:szCs w:val="18"/>
        </w:rPr>
        <w:tab/>
        <w:t>259</w:t>
      </w:r>
      <w:r w:rsidRPr="007B36B3">
        <w:rPr>
          <w:rFonts w:ascii="Verdana" w:hAnsi="Verdana" w:cs="Calibri"/>
          <w:color w:val="000000"/>
          <w:sz w:val="18"/>
          <w:szCs w:val="18"/>
        </w:rPr>
        <w:tab/>
        <w:t>34%</w:t>
      </w:r>
      <w:r w:rsidRPr="007B36B3">
        <w:rPr>
          <w:rFonts w:ascii="Verdana" w:hAnsi="Verdana" w:cs="Calibri"/>
          <w:color w:val="000000"/>
          <w:sz w:val="18"/>
          <w:szCs w:val="18"/>
        </w:rPr>
        <w:tab/>
      </w:r>
      <w:r w:rsidRPr="007B36B3">
        <w:rPr>
          <w:rFonts w:ascii="Verdana" w:hAnsi="Verdana" w:cs="Calibri"/>
          <w:color w:val="000000"/>
          <w:sz w:val="18"/>
          <w:szCs w:val="18"/>
        </w:rPr>
        <w:tab/>
        <w:t>576</w:t>
      </w:r>
      <w:r w:rsidRPr="007B36B3">
        <w:rPr>
          <w:rFonts w:ascii="Verdana" w:hAnsi="Verdana" w:cs="Calibri"/>
          <w:color w:val="000000"/>
          <w:sz w:val="18"/>
          <w:szCs w:val="18"/>
        </w:rPr>
        <w:tab/>
        <w:t>291</w:t>
      </w:r>
      <w:r w:rsidRPr="007B36B3">
        <w:rPr>
          <w:rFonts w:ascii="Verdana" w:hAnsi="Verdana" w:cs="Calibri"/>
          <w:color w:val="000000"/>
          <w:sz w:val="18"/>
          <w:szCs w:val="18"/>
        </w:rPr>
        <w:tab/>
        <w:t>98%</w:t>
      </w:r>
    </w:p>
    <w:p w:rsidR="007B36B3" w:rsidRPr="007B36B3" w:rsidRDefault="007B36B3" w:rsidP="007B36B3">
      <w:pPr>
        <w:rPr>
          <w:rFonts w:ascii="Verdana" w:hAnsi="Verdana" w:cs="Calibri"/>
          <w:color w:val="000000"/>
          <w:sz w:val="18"/>
          <w:szCs w:val="18"/>
        </w:rPr>
      </w:pPr>
      <w:r w:rsidRPr="007B36B3">
        <w:rPr>
          <w:rFonts w:ascii="Verdana" w:hAnsi="Verdana" w:cs="Calibri"/>
          <w:color w:val="000000"/>
          <w:sz w:val="18"/>
          <w:szCs w:val="18"/>
        </w:rPr>
        <w:t>Margine operativo</w:t>
      </w:r>
      <w:r w:rsidRPr="007B36B3">
        <w:rPr>
          <w:rFonts w:ascii="Verdana" w:hAnsi="Verdana" w:cs="Calibri"/>
          <w:color w:val="000000"/>
          <w:sz w:val="18"/>
          <w:szCs w:val="18"/>
        </w:rPr>
        <w:tab/>
      </w:r>
      <w:r w:rsidRPr="007B36B3">
        <w:rPr>
          <w:rFonts w:ascii="Verdana" w:hAnsi="Verdana" w:cs="Calibri"/>
          <w:color w:val="000000"/>
          <w:sz w:val="18"/>
          <w:szCs w:val="18"/>
        </w:rPr>
        <w:tab/>
        <w:t>11,6%</w:t>
      </w:r>
      <w:r w:rsidRPr="007B36B3">
        <w:rPr>
          <w:rFonts w:ascii="Verdana" w:hAnsi="Verdana" w:cs="Calibri"/>
          <w:color w:val="000000"/>
          <w:sz w:val="18"/>
          <w:szCs w:val="18"/>
        </w:rPr>
        <w:tab/>
        <w:t>9,6%</w:t>
      </w:r>
      <w:r w:rsidRPr="007B36B3">
        <w:rPr>
          <w:rFonts w:ascii="Verdana" w:hAnsi="Verdana" w:cs="Calibri"/>
          <w:color w:val="000000"/>
          <w:sz w:val="18"/>
          <w:szCs w:val="18"/>
        </w:rPr>
        <w:tab/>
      </w:r>
      <w:r w:rsidRPr="007B36B3">
        <w:rPr>
          <w:rFonts w:ascii="Verdana" w:hAnsi="Verdana" w:cs="Calibri"/>
          <w:color w:val="000000"/>
          <w:sz w:val="18"/>
          <w:szCs w:val="18"/>
        </w:rPr>
        <w:tab/>
      </w:r>
      <w:r w:rsidRPr="007B36B3">
        <w:rPr>
          <w:rFonts w:ascii="Verdana" w:hAnsi="Verdana" w:cs="Calibri"/>
          <w:color w:val="000000"/>
          <w:sz w:val="18"/>
          <w:szCs w:val="18"/>
        </w:rPr>
        <w:tab/>
        <w:t>11%</w:t>
      </w:r>
      <w:r w:rsidRPr="007B36B3">
        <w:rPr>
          <w:rFonts w:ascii="Verdana" w:hAnsi="Verdana" w:cs="Calibri"/>
          <w:color w:val="000000"/>
          <w:sz w:val="18"/>
          <w:szCs w:val="18"/>
        </w:rPr>
        <w:tab/>
        <w:t>6,6%</w:t>
      </w:r>
    </w:p>
    <w:p w:rsidR="007B36B3" w:rsidRPr="007B36B3" w:rsidRDefault="007B36B3" w:rsidP="007B36B3">
      <w:pPr>
        <w:rPr>
          <w:rFonts w:ascii="Verdana" w:hAnsi="Verdana" w:cs="Calibri"/>
          <w:color w:val="000000"/>
          <w:szCs w:val="22"/>
        </w:rPr>
      </w:pPr>
    </w:p>
    <w:p w:rsidR="007B36B3" w:rsidRPr="007B36B3" w:rsidRDefault="007B36B3" w:rsidP="007B36B3">
      <w:pPr>
        <w:jc w:val="both"/>
        <w:rPr>
          <w:rFonts w:ascii="Verdana" w:hAnsi="Verdana" w:cs="Calibri"/>
          <w:color w:val="000000"/>
          <w:szCs w:val="22"/>
        </w:rPr>
      </w:pPr>
      <w:r w:rsidRPr="007B36B3">
        <w:rPr>
          <w:rFonts w:ascii="Verdana" w:hAnsi="Verdana" w:cs="Calibri"/>
          <w:color w:val="000000"/>
          <w:szCs w:val="22"/>
        </w:rPr>
        <w:t>Le vendite della divisione Construction e Forestale sono cresciute nel trimestre e nell'anno principalmente grazie ai maggiori volumi di consegne e all'ottimizzazione dei prezzi, parzialmente compensati dagli effetti sfavorevoli dei cambi valutari. In più, il calcolo delle vendite di Wirtgen per due ulteriori mesi ha contribuito per il 9% sulla crescita delle vendite per l'anno. L'utile operativo di Wirtgen per il trimestre e i primi sei mesi dell'anno è stato rispettivamente di 102 e 116 milioni di dollari rispetto a un utile operativo di 41 milioni e a perdite operative per 51 milioni del corrispondente periodo dello scorso anno. Al netto dei risultati Wirtgen, il miglioramento dei risultati della divisione Construction e Forestale su entrambi i periodi è stato influenzato principalmente dall'ottimizzazione dei prezzi e dai maggiori volumi di consegne, parzialmente compensati da maggiori costi di produzione e da un mix di prodotti meno favorevole.</w:t>
      </w:r>
    </w:p>
    <w:p w:rsidR="007B36B3" w:rsidRPr="007B36B3" w:rsidRDefault="007B36B3" w:rsidP="007B36B3">
      <w:pPr>
        <w:rPr>
          <w:rFonts w:ascii="Verdana" w:hAnsi="Verdana" w:cs="Calibri"/>
          <w:color w:val="000000"/>
          <w:szCs w:val="22"/>
        </w:rPr>
      </w:pPr>
    </w:p>
    <w:p w:rsidR="007B36B3" w:rsidRPr="00382F32" w:rsidRDefault="007B36B3" w:rsidP="007B36B3">
      <w:pPr>
        <w:rPr>
          <w:rFonts w:ascii="Verdana" w:hAnsi="Verdana" w:cs="Calibri"/>
          <w:b/>
          <w:color w:val="000000"/>
          <w:sz w:val="18"/>
          <w:szCs w:val="18"/>
        </w:rPr>
      </w:pPr>
      <w:r w:rsidRPr="00382F32">
        <w:rPr>
          <w:rFonts w:ascii="Verdana" w:hAnsi="Verdana" w:cs="Calibri"/>
          <w:b/>
          <w:color w:val="000000"/>
          <w:sz w:val="18"/>
          <w:szCs w:val="18"/>
        </w:rPr>
        <w:t>Servizi finanziari</w:t>
      </w:r>
      <w:r w:rsidRPr="00382F32">
        <w:rPr>
          <w:rFonts w:ascii="Verdana" w:hAnsi="Verdana" w:cs="Calibri"/>
          <w:b/>
          <w:color w:val="000000"/>
          <w:sz w:val="18"/>
          <w:szCs w:val="18"/>
        </w:rPr>
        <w:tab/>
        <w:t xml:space="preserve"> </w:t>
      </w:r>
      <w:r w:rsidRPr="00382F32">
        <w:rPr>
          <w:rFonts w:ascii="Verdana" w:hAnsi="Verdana" w:cs="Calibri"/>
          <w:b/>
          <w:color w:val="000000"/>
          <w:sz w:val="18"/>
          <w:szCs w:val="18"/>
        </w:rPr>
        <w:tab/>
        <w:t xml:space="preserve"> Primo Trimestre</w:t>
      </w:r>
      <w:r w:rsidRPr="00382F32">
        <w:rPr>
          <w:rFonts w:ascii="Verdana" w:hAnsi="Verdana" w:cs="Calibri"/>
          <w:b/>
          <w:color w:val="000000"/>
          <w:sz w:val="18"/>
          <w:szCs w:val="18"/>
        </w:rPr>
        <w:tab/>
      </w:r>
      <w:r w:rsidRPr="00382F32">
        <w:rPr>
          <w:rFonts w:ascii="Verdana" w:hAnsi="Verdana" w:cs="Calibri"/>
          <w:b/>
          <w:color w:val="000000"/>
          <w:sz w:val="18"/>
          <w:szCs w:val="18"/>
        </w:rPr>
        <w:tab/>
      </w:r>
      <w:r w:rsidRPr="00382F32">
        <w:rPr>
          <w:rFonts w:ascii="Verdana" w:hAnsi="Verdana" w:cs="Calibri"/>
          <w:b/>
          <w:color w:val="000000"/>
          <w:sz w:val="18"/>
          <w:szCs w:val="18"/>
        </w:rPr>
        <w:tab/>
        <w:t>Anno su anno</w:t>
      </w:r>
    </w:p>
    <w:p w:rsidR="007B36B3" w:rsidRPr="00382F32" w:rsidRDefault="007B36B3" w:rsidP="007B36B3">
      <w:pPr>
        <w:rPr>
          <w:rFonts w:ascii="Verdana" w:hAnsi="Verdana" w:cs="Calibri"/>
          <w:color w:val="000000"/>
          <w:sz w:val="18"/>
          <w:szCs w:val="18"/>
        </w:rPr>
      </w:pPr>
      <w:r w:rsidRPr="00382F32">
        <w:rPr>
          <w:rFonts w:ascii="Verdana" w:hAnsi="Verdana" w:cs="Calibri"/>
          <w:color w:val="000000"/>
          <w:sz w:val="18"/>
          <w:szCs w:val="18"/>
        </w:rPr>
        <w:t>Valori in milioni di dollari</w:t>
      </w:r>
      <w:r w:rsidRPr="00382F32">
        <w:rPr>
          <w:rFonts w:ascii="Verdana" w:hAnsi="Verdana" w:cs="Calibri"/>
          <w:color w:val="000000"/>
          <w:sz w:val="18"/>
          <w:szCs w:val="18"/>
        </w:rPr>
        <w:tab/>
        <w:t>2019</w:t>
      </w:r>
      <w:r w:rsidRPr="00382F32">
        <w:rPr>
          <w:rFonts w:ascii="Verdana" w:hAnsi="Verdana" w:cs="Calibri"/>
          <w:color w:val="000000"/>
          <w:sz w:val="18"/>
          <w:szCs w:val="18"/>
        </w:rPr>
        <w:tab/>
        <w:t>2018</w:t>
      </w:r>
      <w:r w:rsidRPr="00382F32">
        <w:rPr>
          <w:rFonts w:ascii="Verdana" w:hAnsi="Verdana" w:cs="Calibri"/>
          <w:color w:val="000000"/>
          <w:sz w:val="18"/>
          <w:szCs w:val="18"/>
        </w:rPr>
        <w:tab/>
        <w:t>variazione %</w:t>
      </w:r>
      <w:r w:rsidRPr="00382F32">
        <w:rPr>
          <w:rFonts w:ascii="Verdana" w:hAnsi="Verdana" w:cs="Calibri"/>
          <w:color w:val="000000"/>
          <w:sz w:val="18"/>
          <w:szCs w:val="18"/>
        </w:rPr>
        <w:tab/>
        <w:t>2019</w:t>
      </w:r>
      <w:r w:rsidRPr="00382F32">
        <w:rPr>
          <w:rFonts w:ascii="Verdana" w:hAnsi="Verdana" w:cs="Calibri"/>
          <w:color w:val="000000"/>
          <w:sz w:val="18"/>
          <w:szCs w:val="18"/>
        </w:rPr>
        <w:tab/>
        <w:t>2018</w:t>
      </w:r>
      <w:r w:rsidRPr="00382F32">
        <w:rPr>
          <w:rFonts w:ascii="Verdana" w:hAnsi="Verdana" w:cs="Calibri"/>
          <w:color w:val="000000"/>
          <w:sz w:val="18"/>
          <w:szCs w:val="18"/>
        </w:rPr>
        <w:tab/>
        <w:t>variazione %</w:t>
      </w:r>
    </w:p>
    <w:p w:rsidR="007B36B3" w:rsidRPr="00382F32" w:rsidRDefault="007B36B3" w:rsidP="007B36B3">
      <w:pPr>
        <w:rPr>
          <w:rFonts w:ascii="Verdana" w:hAnsi="Verdana" w:cs="Calibri"/>
          <w:color w:val="000000"/>
          <w:sz w:val="18"/>
          <w:szCs w:val="18"/>
        </w:rPr>
      </w:pPr>
      <w:r w:rsidRPr="00382F32">
        <w:rPr>
          <w:rFonts w:ascii="Verdana" w:hAnsi="Verdana" w:cs="Calibri"/>
          <w:color w:val="000000"/>
          <w:sz w:val="18"/>
          <w:szCs w:val="18"/>
        </w:rPr>
        <w:t>Utile netto</w:t>
      </w:r>
      <w:r w:rsidRPr="00382F32">
        <w:rPr>
          <w:rFonts w:ascii="Verdana" w:hAnsi="Verdana" w:cs="Calibri"/>
          <w:color w:val="000000"/>
          <w:sz w:val="18"/>
          <w:szCs w:val="18"/>
        </w:rPr>
        <w:tab/>
      </w:r>
      <w:r w:rsidRPr="00382F32">
        <w:rPr>
          <w:rFonts w:ascii="Verdana" w:hAnsi="Verdana" w:cs="Calibri"/>
          <w:color w:val="000000"/>
          <w:sz w:val="18"/>
          <w:szCs w:val="18"/>
        </w:rPr>
        <w:tab/>
      </w:r>
      <w:r w:rsidRPr="00382F32">
        <w:rPr>
          <w:rFonts w:ascii="Verdana" w:hAnsi="Verdana" w:cs="Calibri"/>
          <w:color w:val="000000"/>
          <w:sz w:val="18"/>
          <w:szCs w:val="18"/>
        </w:rPr>
        <w:tab/>
        <w:t>121</w:t>
      </w:r>
      <w:r w:rsidRPr="00382F32">
        <w:rPr>
          <w:rFonts w:ascii="Verdana" w:hAnsi="Verdana" w:cs="Calibri"/>
          <w:color w:val="000000"/>
          <w:sz w:val="18"/>
          <w:szCs w:val="18"/>
        </w:rPr>
        <w:tab/>
        <w:t>140</w:t>
      </w:r>
      <w:r w:rsidRPr="00382F32">
        <w:rPr>
          <w:rFonts w:ascii="Verdana" w:hAnsi="Verdana" w:cs="Calibri"/>
          <w:color w:val="000000"/>
          <w:sz w:val="18"/>
          <w:szCs w:val="18"/>
        </w:rPr>
        <w:tab/>
        <w:t>16%</w:t>
      </w:r>
      <w:r w:rsidRPr="00382F32">
        <w:rPr>
          <w:rFonts w:ascii="Verdana" w:hAnsi="Verdana" w:cs="Calibri"/>
          <w:color w:val="000000"/>
          <w:sz w:val="18"/>
          <w:szCs w:val="18"/>
        </w:rPr>
        <w:tab/>
      </w:r>
      <w:r w:rsidRPr="00382F32">
        <w:rPr>
          <w:rFonts w:ascii="Verdana" w:hAnsi="Verdana" w:cs="Calibri"/>
          <w:color w:val="000000"/>
          <w:sz w:val="18"/>
          <w:szCs w:val="18"/>
        </w:rPr>
        <w:tab/>
        <w:t>275</w:t>
      </w:r>
      <w:r w:rsidRPr="00382F32">
        <w:rPr>
          <w:rFonts w:ascii="Verdana" w:hAnsi="Verdana" w:cs="Calibri"/>
          <w:color w:val="000000"/>
          <w:sz w:val="18"/>
          <w:szCs w:val="18"/>
        </w:rPr>
        <w:tab/>
        <w:t>529</w:t>
      </w:r>
      <w:r w:rsidRPr="00382F32">
        <w:rPr>
          <w:rFonts w:ascii="Verdana" w:hAnsi="Verdana" w:cs="Calibri"/>
          <w:color w:val="000000"/>
          <w:sz w:val="18"/>
          <w:szCs w:val="18"/>
        </w:rPr>
        <w:tab/>
        <w:t>-48%</w:t>
      </w:r>
    </w:p>
    <w:p w:rsidR="00382F32" w:rsidRDefault="007B36B3" w:rsidP="007B36B3">
      <w:pPr>
        <w:rPr>
          <w:rFonts w:ascii="Verdana" w:hAnsi="Verdana" w:cs="Calibri"/>
          <w:color w:val="000000"/>
          <w:sz w:val="18"/>
          <w:szCs w:val="18"/>
        </w:rPr>
      </w:pPr>
      <w:r w:rsidRPr="00382F32">
        <w:rPr>
          <w:rFonts w:ascii="Verdana" w:hAnsi="Verdana" w:cs="Calibri"/>
          <w:color w:val="000000"/>
          <w:sz w:val="18"/>
          <w:szCs w:val="18"/>
        </w:rPr>
        <w:t>Correzioni sfavorevoli (favorevoli) riforma fiscale</w:t>
      </w:r>
    </w:p>
    <w:p w:rsidR="007B36B3" w:rsidRPr="00382F32" w:rsidRDefault="00382F32" w:rsidP="007B36B3">
      <w:pPr>
        <w:rPr>
          <w:rFonts w:ascii="Verdana" w:hAnsi="Verdana" w:cs="Calibri"/>
          <w:color w:val="000000"/>
          <w:sz w:val="18"/>
          <w:szCs w:val="18"/>
        </w:rPr>
      </w:pPr>
      <w:r>
        <w:rPr>
          <w:rFonts w:ascii="Verdana" w:hAnsi="Verdana" w:cs="Calibri"/>
          <w:color w:val="000000"/>
          <w:sz w:val="18"/>
          <w:szCs w:val="18"/>
        </w:rPr>
        <w:tab/>
      </w:r>
      <w:r>
        <w:rPr>
          <w:rFonts w:ascii="Verdana" w:hAnsi="Verdana" w:cs="Calibri"/>
          <w:color w:val="000000"/>
          <w:sz w:val="18"/>
          <w:szCs w:val="18"/>
        </w:rPr>
        <w:tab/>
      </w:r>
      <w:r>
        <w:rPr>
          <w:rFonts w:ascii="Verdana" w:hAnsi="Verdana" w:cs="Calibri"/>
          <w:color w:val="000000"/>
          <w:sz w:val="18"/>
          <w:szCs w:val="18"/>
        </w:rPr>
        <w:tab/>
      </w:r>
      <w:r w:rsidR="007B36B3" w:rsidRPr="00382F32">
        <w:rPr>
          <w:rFonts w:ascii="Verdana" w:hAnsi="Verdana" w:cs="Calibri"/>
          <w:color w:val="000000"/>
          <w:sz w:val="18"/>
          <w:szCs w:val="18"/>
        </w:rPr>
        <w:tab/>
      </w:r>
      <w:r w:rsidR="007B36B3" w:rsidRPr="00382F32">
        <w:rPr>
          <w:rFonts w:ascii="Verdana" w:hAnsi="Verdana" w:cs="Calibri"/>
          <w:color w:val="000000"/>
          <w:sz w:val="18"/>
          <w:szCs w:val="18"/>
        </w:rPr>
        <w:tab/>
        <w:t>33</w:t>
      </w:r>
      <w:r w:rsidR="007B36B3" w:rsidRPr="00382F32">
        <w:rPr>
          <w:rFonts w:ascii="Verdana" w:hAnsi="Verdana" w:cs="Calibri"/>
          <w:color w:val="000000"/>
          <w:sz w:val="18"/>
          <w:szCs w:val="18"/>
        </w:rPr>
        <w:tab/>
        <w:t>-</w:t>
      </w:r>
      <w:r w:rsidR="007B36B3" w:rsidRPr="00382F32">
        <w:rPr>
          <w:rFonts w:ascii="Verdana" w:hAnsi="Verdana" w:cs="Calibri"/>
          <w:color w:val="000000"/>
          <w:sz w:val="18"/>
          <w:szCs w:val="18"/>
        </w:rPr>
        <w:tab/>
      </w:r>
      <w:r w:rsidR="007B36B3" w:rsidRPr="00382F32">
        <w:rPr>
          <w:rFonts w:ascii="Verdana" w:hAnsi="Verdana" w:cs="Calibri"/>
          <w:color w:val="000000"/>
          <w:sz w:val="18"/>
          <w:szCs w:val="18"/>
        </w:rPr>
        <w:tab/>
      </w:r>
      <w:r w:rsidR="007B36B3" w:rsidRPr="00382F32">
        <w:rPr>
          <w:rFonts w:ascii="Verdana" w:hAnsi="Verdana" w:cs="Calibri"/>
          <w:color w:val="000000"/>
          <w:sz w:val="18"/>
          <w:szCs w:val="18"/>
        </w:rPr>
        <w:tab/>
        <w:t>(229)</w:t>
      </w:r>
    </w:p>
    <w:p w:rsidR="00382F32" w:rsidRDefault="007B36B3" w:rsidP="007B36B3">
      <w:pPr>
        <w:rPr>
          <w:rFonts w:ascii="Verdana" w:hAnsi="Verdana" w:cs="Calibri"/>
          <w:color w:val="000000"/>
          <w:sz w:val="18"/>
          <w:szCs w:val="18"/>
        </w:rPr>
      </w:pPr>
      <w:r w:rsidRPr="00382F32">
        <w:rPr>
          <w:rFonts w:ascii="Verdana" w:hAnsi="Verdana" w:cs="Calibri"/>
          <w:color w:val="000000"/>
          <w:sz w:val="18"/>
          <w:szCs w:val="18"/>
        </w:rPr>
        <w:t>Utile netto senza riforma fiscale</w:t>
      </w:r>
      <w:r w:rsidRPr="00382F32">
        <w:rPr>
          <w:rFonts w:ascii="Verdana" w:hAnsi="Verdana" w:cs="Calibri"/>
          <w:color w:val="000000"/>
          <w:sz w:val="18"/>
          <w:szCs w:val="18"/>
        </w:rPr>
        <w:tab/>
      </w:r>
    </w:p>
    <w:p w:rsidR="007B36B3" w:rsidRPr="00382F32" w:rsidRDefault="00382F32" w:rsidP="007B36B3">
      <w:pPr>
        <w:rPr>
          <w:rFonts w:ascii="Verdana" w:hAnsi="Verdana" w:cs="Calibri"/>
          <w:color w:val="000000"/>
          <w:sz w:val="18"/>
          <w:szCs w:val="18"/>
        </w:rPr>
      </w:pPr>
      <w:r>
        <w:rPr>
          <w:rFonts w:ascii="Verdana" w:hAnsi="Verdana" w:cs="Calibri"/>
          <w:color w:val="000000"/>
          <w:sz w:val="18"/>
          <w:szCs w:val="18"/>
        </w:rPr>
        <w:tab/>
      </w:r>
      <w:r>
        <w:rPr>
          <w:rFonts w:ascii="Verdana" w:hAnsi="Verdana" w:cs="Calibri"/>
          <w:color w:val="000000"/>
          <w:sz w:val="18"/>
          <w:szCs w:val="18"/>
        </w:rPr>
        <w:tab/>
      </w:r>
      <w:r w:rsidR="007B36B3" w:rsidRPr="00382F32">
        <w:rPr>
          <w:rFonts w:ascii="Verdana" w:hAnsi="Verdana" w:cs="Calibri"/>
          <w:color w:val="000000"/>
          <w:sz w:val="18"/>
          <w:szCs w:val="18"/>
        </w:rPr>
        <w:tab/>
      </w:r>
      <w:r w:rsidR="007B36B3" w:rsidRPr="00382F32">
        <w:rPr>
          <w:rFonts w:ascii="Verdana" w:hAnsi="Verdana" w:cs="Calibri"/>
          <w:color w:val="000000"/>
          <w:sz w:val="18"/>
          <w:szCs w:val="18"/>
        </w:rPr>
        <w:tab/>
        <w:t>121</w:t>
      </w:r>
      <w:r w:rsidR="007B36B3" w:rsidRPr="00382F32">
        <w:rPr>
          <w:rFonts w:ascii="Verdana" w:hAnsi="Verdana" w:cs="Calibri"/>
          <w:color w:val="000000"/>
          <w:sz w:val="18"/>
          <w:szCs w:val="18"/>
        </w:rPr>
        <w:tab/>
        <w:t>137</w:t>
      </w:r>
      <w:r w:rsidR="007B36B3" w:rsidRPr="00382F32">
        <w:rPr>
          <w:rFonts w:ascii="Verdana" w:hAnsi="Verdana" w:cs="Calibri"/>
          <w:color w:val="000000"/>
          <w:sz w:val="18"/>
          <w:szCs w:val="18"/>
        </w:rPr>
        <w:tab/>
        <w:t>-12%</w:t>
      </w:r>
      <w:r w:rsidR="007B36B3" w:rsidRPr="00382F32">
        <w:rPr>
          <w:rFonts w:ascii="Verdana" w:hAnsi="Verdana" w:cs="Calibri"/>
          <w:color w:val="000000"/>
          <w:sz w:val="18"/>
          <w:szCs w:val="18"/>
        </w:rPr>
        <w:tab/>
      </w:r>
      <w:r w:rsidR="007B36B3" w:rsidRPr="00382F32">
        <w:rPr>
          <w:rFonts w:ascii="Verdana" w:hAnsi="Verdana" w:cs="Calibri"/>
          <w:color w:val="000000"/>
          <w:sz w:val="18"/>
          <w:szCs w:val="18"/>
        </w:rPr>
        <w:tab/>
        <w:t>275</w:t>
      </w:r>
      <w:r w:rsidR="007B36B3" w:rsidRPr="00382F32">
        <w:rPr>
          <w:rFonts w:ascii="Verdana" w:hAnsi="Verdana" w:cs="Calibri"/>
          <w:color w:val="000000"/>
          <w:sz w:val="18"/>
          <w:szCs w:val="18"/>
        </w:rPr>
        <w:tab/>
        <w:t>300</w:t>
      </w:r>
      <w:r w:rsidR="007B36B3" w:rsidRPr="00382F32">
        <w:rPr>
          <w:rFonts w:ascii="Verdana" w:hAnsi="Verdana" w:cs="Calibri"/>
          <w:color w:val="000000"/>
          <w:sz w:val="18"/>
          <w:szCs w:val="18"/>
        </w:rPr>
        <w:tab/>
        <w:t>-8%</w:t>
      </w:r>
    </w:p>
    <w:p w:rsidR="007B36B3" w:rsidRPr="007B36B3" w:rsidRDefault="007B36B3" w:rsidP="007B36B3">
      <w:pPr>
        <w:rPr>
          <w:rFonts w:ascii="Verdana" w:hAnsi="Verdana" w:cs="Calibri"/>
          <w:color w:val="000000"/>
          <w:szCs w:val="22"/>
        </w:rPr>
      </w:pPr>
    </w:p>
    <w:p w:rsidR="007B36B3" w:rsidRPr="007B36B3" w:rsidRDefault="007B36B3" w:rsidP="007B36B3">
      <w:pPr>
        <w:jc w:val="both"/>
        <w:rPr>
          <w:rFonts w:ascii="Verdana" w:hAnsi="Verdana" w:cs="Calibri"/>
          <w:color w:val="000000"/>
          <w:szCs w:val="22"/>
        </w:rPr>
      </w:pPr>
      <w:r w:rsidRPr="007B36B3">
        <w:rPr>
          <w:rFonts w:ascii="Verdana" w:hAnsi="Verdana" w:cs="Calibri"/>
          <w:color w:val="000000"/>
          <w:szCs w:val="22"/>
        </w:rPr>
        <w:t xml:space="preserve">Al netto degli adeguamenti derivanti dalla riforma fiscale dello scorso anno, la diminuzione dell'utile netto dei servizi finanziari per il trimestre e i primi sei mesi è attribuibile a un spread finanziario sfavorevole e a maggiori accantonamenti per perditi sui crediti, parzialmente compensati dai ricavi derivanti un portfolio mediamente più alto. </w:t>
      </w:r>
    </w:p>
    <w:p w:rsidR="007B36B3" w:rsidRPr="007B36B3" w:rsidRDefault="007B36B3" w:rsidP="007B36B3">
      <w:pPr>
        <w:rPr>
          <w:rFonts w:ascii="Verdana" w:hAnsi="Verdana" w:cs="Calibri"/>
          <w:color w:val="000000"/>
          <w:szCs w:val="22"/>
        </w:rPr>
      </w:pPr>
    </w:p>
    <w:p w:rsidR="007B36B3" w:rsidRPr="00382F32" w:rsidRDefault="007B36B3" w:rsidP="007B36B3">
      <w:pPr>
        <w:rPr>
          <w:rFonts w:ascii="Verdana" w:hAnsi="Verdana" w:cs="Calibri"/>
          <w:b/>
          <w:color w:val="000000"/>
          <w:sz w:val="18"/>
          <w:szCs w:val="18"/>
        </w:rPr>
      </w:pPr>
      <w:r w:rsidRPr="00382F32">
        <w:rPr>
          <w:rFonts w:ascii="Verdana" w:hAnsi="Verdana" w:cs="Calibri"/>
          <w:b/>
          <w:color w:val="000000"/>
          <w:sz w:val="18"/>
          <w:szCs w:val="18"/>
        </w:rPr>
        <w:t>Situazione di mercato e outlook (annuale)</w:t>
      </w:r>
    </w:p>
    <w:p w:rsidR="007B36B3" w:rsidRPr="00382F32" w:rsidRDefault="007B36B3" w:rsidP="007B36B3">
      <w:pPr>
        <w:rPr>
          <w:rFonts w:ascii="Verdana" w:hAnsi="Verdana" w:cs="Calibri"/>
          <w:color w:val="000000"/>
          <w:sz w:val="18"/>
          <w:szCs w:val="18"/>
        </w:rPr>
      </w:pPr>
      <w:r w:rsidRPr="00382F32">
        <w:rPr>
          <w:rFonts w:ascii="Verdana" w:hAnsi="Verdana" w:cs="Calibri"/>
          <w:color w:val="000000"/>
          <w:sz w:val="18"/>
          <w:szCs w:val="18"/>
        </w:rPr>
        <w:t xml:space="preserve">Valori in milioni di dollari </w:t>
      </w:r>
    </w:p>
    <w:p w:rsidR="007B36B3" w:rsidRPr="00382F32" w:rsidRDefault="007B36B3" w:rsidP="007B36B3">
      <w:pPr>
        <w:rPr>
          <w:rFonts w:ascii="Verdana" w:hAnsi="Verdana" w:cs="Calibri"/>
          <w:color w:val="000000"/>
          <w:sz w:val="18"/>
          <w:szCs w:val="18"/>
        </w:rPr>
      </w:pPr>
      <w:r w:rsidRPr="00382F32">
        <w:rPr>
          <w:rFonts w:ascii="Verdana" w:hAnsi="Verdana" w:cs="Calibri"/>
          <w:color w:val="000000"/>
          <w:sz w:val="18"/>
          <w:szCs w:val="18"/>
        </w:rPr>
        <w:t>Agricoltura &amp;Turf</w:t>
      </w:r>
      <w:r w:rsidRPr="00382F32">
        <w:rPr>
          <w:rFonts w:ascii="Verdana" w:hAnsi="Verdana" w:cs="Calibri"/>
          <w:color w:val="000000"/>
          <w:sz w:val="18"/>
          <w:szCs w:val="18"/>
        </w:rPr>
        <w:tab/>
      </w:r>
      <w:r w:rsidRPr="00382F32">
        <w:rPr>
          <w:rFonts w:ascii="Verdana" w:hAnsi="Verdana" w:cs="Calibri"/>
          <w:color w:val="000000"/>
          <w:sz w:val="18"/>
          <w:szCs w:val="18"/>
        </w:rPr>
        <w:tab/>
        <w:t>Vendite nette +2%</w:t>
      </w:r>
      <w:r w:rsidRPr="00382F32">
        <w:rPr>
          <w:rFonts w:ascii="Verdana" w:hAnsi="Verdana" w:cs="Calibri"/>
          <w:color w:val="000000"/>
          <w:sz w:val="18"/>
          <w:szCs w:val="18"/>
        </w:rPr>
        <w:tab/>
      </w:r>
      <w:r w:rsidRPr="00382F32">
        <w:rPr>
          <w:rFonts w:ascii="Verdana" w:hAnsi="Verdana" w:cs="Calibri"/>
          <w:color w:val="000000"/>
          <w:sz w:val="18"/>
          <w:szCs w:val="18"/>
        </w:rPr>
        <w:tab/>
        <w:t>Cambi valutari -3%</w:t>
      </w:r>
    </w:p>
    <w:p w:rsidR="007B36B3" w:rsidRPr="00382F32" w:rsidRDefault="007B36B3" w:rsidP="007B36B3">
      <w:pPr>
        <w:rPr>
          <w:rFonts w:ascii="Verdana" w:hAnsi="Verdana" w:cs="Calibri"/>
          <w:color w:val="000000"/>
          <w:sz w:val="18"/>
          <w:szCs w:val="18"/>
        </w:rPr>
      </w:pPr>
      <w:r w:rsidRPr="00382F32">
        <w:rPr>
          <w:rFonts w:ascii="Verdana" w:hAnsi="Verdana" w:cs="Calibri"/>
          <w:color w:val="000000"/>
          <w:sz w:val="18"/>
          <w:szCs w:val="18"/>
        </w:rPr>
        <w:t>Construction e Forestale</w:t>
      </w:r>
      <w:r w:rsidRPr="00382F32">
        <w:rPr>
          <w:rFonts w:ascii="Verdana" w:hAnsi="Verdana" w:cs="Calibri"/>
          <w:color w:val="000000"/>
          <w:sz w:val="18"/>
          <w:szCs w:val="18"/>
        </w:rPr>
        <w:tab/>
        <w:t>Vendite nette +11%</w:t>
      </w:r>
      <w:r w:rsidRPr="00382F32">
        <w:rPr>
          <w:rFonts w:ascii="Verdana" w:hAnsi="Verdana" w:cs="Calibri"/>
          <w:color w:val="000000"/>
          <w:sz w:val="18"/>
          <w:szCs w:val="18"/>
        </w:rPr>
        <w:tab/>
      </w:r>
      <w:r w:rsidRPr="00382F32">
        <w:rPr>
          <w:rFonts w:ascii="Verdana" w:hAnsi="Verdana" w:cs="Calibri"/>
          <w:color w:val="000000"/>
          <w:sz w:val="18"/>
          <w:szCs w:val="18"/>
        </w:rPr>
        <w:tab/>
        <w:t>Cambi valutari -2%</w:t>
      </w:r>
    </w:p>
    <w:p w:rsidR="007B36B3" w:rsidRPr="00382F32" w:rsidRDefault="007B36B3" w:rsidP="007B36B3">
      <w:pPr>
        <w:rPr>
          <w:rFonts w:ascii="Verdana" w:hAnsi="Verdana" w:cs="Calibri"/>
          <w:color w:val="000000"/>
          <w:sz w:val="18"/>
          <w:szCs w:val="18"/>
        </w:rPr>
      </w:pPr>
      <w:r w:rsidRPr="00382F32">
        <w:rPr>
          <w:rFonts w:ascii="Verdana" w:hAnsi="Verdana" w:cs="Calibri"/>
          <w:color w:val="000000"/>
          <w:sz w:val="18"/>
          <w:szCs w:val="18"/>
        </w:rPr>
        <w:t>John Deere Financial</w:t>
      </w:r>
      <w:r w:rsidRPr="00382F32">
        <w:rPr>
          <w:rFonts w:ascii="Verdana" w:hAnsi="Verdana" w:cs="Calibri"/>
          <w:color w:val="000000"/>
          <w:sz w:val="18"/>
          <w:szCs w:val="18"/>
        </w:rPr>
        <w:tab/>
      </w:r>
      <w:r w:rsidRPr="00382F32">
        <w:rPr>
          <w:rFonts w:ascii="Verdana" w:hAnsi="Verdana" w:cs="Calibri"/>
          <w:color w:val="000000"/>
          <w:sz w:val="18"/>
          <w:szCs w:val="18"/>
        </w:rPr>
        <w:tab/>
        <w:t xml:space="preserve">Utile netto </w:t>
      </w:r>
      <w:r w:rsidRPr="00382F32">
        <w:rPr>
          <w:rFonts w:ascii="Verdana" w:hAnsi="Verdana" w:cs="Calibri"/>
          <w:color w:val="000000"/>
          <w:sz w:val="18"/>
          <w:szCs w:val="18"/>
        </w:rPr>
        <w:tab/>
        <w:t>600</w:t>
      </w:r>
    </w:p>
    <w:p w:rsidR="007B36B3" w:rsidRPr="007B36B3" w:rsidRDefault="007B36B3" w:rsidP="007B36B3">
      <w:pPr>
        <w:jc w:val="both"/>
        <w:rPr>
          <w:rFonts w:ascii="Verdana" w:hAnsi="Verdana" w:cs="Calibri"/>
          <w:color w:val="000000"/>
          <w:szCs w:val="22"/>
        </w:rPr>
      </w:pPr>
    </w:p>
    <w:p w:rsidR="007B36B3" w:rsidRPr="007B36B3" w:rsidRDefault="007B36B3" w:rsidP="007B36B3">
      <w:pPr>
        <w:jc w:val="both"/>
        <w:rPr>
          <w:rFonts w:ascii="Verdana" w:hAnsi="Verdana" w:cs="Calibri"/>
          <w:color w:val="000000"/>
          <w:szCs w:val="22"/>
        </w:rPr>
      </w:pPr>
      <w:r w:rsidRPr="007B36B3">
        <w:rPr>
          <w:rFonts w:ascii="Verdana" w:hAnsi="Verdana" w:cs="Calibri"/>
          <w:b/>
          <w:color w:val="000000"/>
          <w:szCs w:val="22"/>
        </w:rPr>
        <w:lastRenderedPageBreak/>
        <w:t>Agricoltura &amp;Turf.</w:t>
      </w:r>
      <w:r w:rsidRPr="007B36B3">
        <w:rPr>
          <w:rFonts w:ascii="Verdana" w:hAnsi="Verdana" w:cs="Calibri"/>
          <w:color w:val="000000"/>
          <w:szCs w:val="22"/>
        </w:rPr>
        <w:t> Si prevede che le vendite di macchine e attrezzature agricole negli Stati Uniti e in Canada cresceranno fino a un massimo del 5%, mentre le vendite nei paesi membri dell'UE28 rimarranno stabili. Le vendite di trattori e mietitrebbie in Sudamerica dovrebbero crescere fino a un massimo del 5% grazie al positivo andamento del Brasile. Le vendite in Asia sono previste in leggera diminuzione. Le vendite del segmento Turf e Utility negli Stati Uniti e in Canada dovrebbero crescere fino al 5% nel 2019.</w:t>
      </w:r>
    </w:p>
    <w:p w:rsidR="007B36B3" w:rsidRPr="007B36B3" w:rsidRDefault="007B36B3" w:rsidP="007B36B3">
      <w:pPr>
        <w:jc w:val="both"/>
        <w:rPr>
          <w:rFonts w:ascii="Verdana" w:hAnsi="Verdana" w:cs="Calibri"/>
          <w:color w:val="000000"/>
          <w:szCs w:val="22"/>
        </w:rPr>
      </w:pPr>
    </w:p>
    <w:p w:rsidR="007B36B3" w:rsidRPr="007B36B3" w:rsidRDefault="007B36B3" w:rsidP="007B36B3">
      <w:pPr>
        <w:jc w:val="both"/>
        <w:rPr>
          <w:rFonts w:ascii="Verdana" w:hAnsi="Verdana" w:cs="Calibri"/>
          <w:color w:val="000000"/>
          <w:szCs w:val="22"/>
        </w:rPr>
      </w:pPr>
      <w:r w:rsidRPr="007B36B3">
        <w:rPr>
          <w:rFonts w:ascii="Verdana" w:hAnsi="Verdana" w:cs="Calibri"/>
          <w:b/>
          <w:color w:val="000000"/>
          <w:szCs w:val="22"/>
        </w:rPr>
        <w:t>Construction e Forestale.</w:t>
      </w:r>
      <w:r w:rsidRPr="007B36B3">
        <w:rPr>
          <w:rFonts w:ascii="Verdana" w:hAnsi="Verdana" w:cs="Calibri"/>
          <w:color w:val="000000"/>
          <w:szCs w:val="22"/>
        </w:rPr>
        <w:t xml:space="preserve"> Le previsioni per il settore Construction e Forestale includono il contributo delle vendite Wirtgen per l'intero anno contro i 10 mesi dell'anno fiscale 2018, con i due ulteriori mesi che contribuiranno per circa il 4% alle vendite. L'outlook riflette i fondamentali complessivamente positivi e la crescita economica mondiale. Nel segmento forestale le vendite dovrebbero crescere su scala globale fino a un massimo del 5% soprattutto grazie al miglioramento della domanda nei paesi dell'UE28 e in Russia. </w:t>
      </w:r>
    </w:p>
    <w:p w:rsidR="007B36B3" w:rsidRPr="007B36B3" w:rsidRDefault="007B36B3" w:rsidP="007B36B3">
      <w:pPr>
        <w:jc w:val="both"/>
        <w:rPr>
          <w:rFonts w:ascii="Verdana" w:hAnsi="Verdana" w:cs="Calibri"/>
          <w:color w:val="000000"/>
          <w:szCs w:val="22"/>
        </w:rPr>
      </w:pPr>
    </w:p>
    <w:p w:rsidR="007B36B3" w:rsidRPr="007B36B3" w:rsidRDefault="007B36B3" w:rsidP="007B36B3">
      <w:pPr>
        <w:jc w:val="both"/>
        <w:rPr>
          <w:rFonts w:ascii="Verdana" w:hAnsi="Verdana" w:cs="Calibri"/>
          <w:color w:val="000000"/>
          <w:szCs w:val="22"/>
        </w:rPr>
      </w:pPr>
      <w:r w:rsidRPr="007B36B3">
        <w:rPr>
          <w:rFonts w:ascii="Verdana" w:hAnsi="Verdana" w:cs="Calibri"/>
          <w:b/>
          <w:color w:val="000000"/>
          <w:szCs w:val="22"/>
        </w:rPr>
        <w:t>Servizi finanziari.</w:t>
      </w:r>
      <w:r w:rsidRPr="007B36B3">
        <w:rPr>
          <w:rFonts w:ascii="Verdana" w:hAnsi="Verdana" w:cs="Calibri"/>
          <w:color w:val="000000"/>
          <w:szCs w:val="22"/>
        </w:rPr>
        <w:t> I risultati dovrebbero beneficiare di un portafoglio medio più elevato, parzialmente compensato da spread finanziari meno favorevoli, maggiori accantonamenti per perdite su crediti e maggiori spese amministrative e di vendita. L'utile netto dei servizi finanziari per il 2018, pari a 942 milioni di dollari, includeva benefici fiscali derivanti dalla riforma fiscale pari a 341 milioni. Al netto dei benefici fiscali, l'utile netto per il 2018 sarebbe stato di 601 milioni.</w:t>
      </w:r>
    </w:p>
    <w:p w:rsidR="007B36B3" w:rsidRPr="007B36B3" w:rsidRDefault="007B36B3" w:rsidP="007B36B3">
      <w:pPr>
        <w:jc w:val="both"/>
        <w:rPr>
          <w:rFonts w:ascii="Verdana" w:hAnsi="Verdana" w:cs="Calibri"/>
          <w:color w:val="000000"/>
          <w:szCs w:val="22"/>
        </w:rPr>
      </w:pPr>
    </w:p>
    <w:p w:rsidR="007B36B3" w:rsidRPr="007B36B3" w:rsidRDefault="007B36B3" w:rsidP="007B36B3">
      <w:pPr>
        <w:jc w:val="both"/>
        <w:rPr>
          <w:rFonts w:ascii="Verdana" w:hAnsi="Verdana" w:cs="Calibri"/>
          <w:b/>
          <w:color w:val="000000"/>
          <w:szCs w:val="22"/>
        </w:rPr>
      </w:pPr>
      <w:r w:rsidRPr="007B36B3">
        <w:rPr>
          <w:rFonts w:ascii="Verdana" w:hAnsi="Verdana" w:cs="Calibri"/>
          <w:b/>
          <w:color w:val="000000"/>
          <w:szCs w:val="22"/>
        </w:rPr>
        <w:t>John Deere Capital Corporation</w:t>
      </w:r>
    </w:p>
    <w:p w:rsidR="007B36B3" w:rsidRPr="007B36B3" w:rsidRDefault="007B36B3" w:rsidP="007B36B3">
      <w:pPr>
        <w:jc w:val="both"/>
        <w:rPr>
          <w:rFonts w:ascii="Verdana" w:hAnsi="Verdana" w:cs="Calibri"/>
          <w:color w:val="000000"/>
          <w:szCs w:val="22"/>
        </w:rPr>
      </w:pPr>
      <w:r w:rsidRPr="007B36B3">
        <w:rPr>
          <w:rFonts w:ascii="Verdana" w:hAnsi="Verdana" w:cs="Calibri"/>
          <w:color w:val="000000"/>
          <w:szCs w:val="22"/>
        </w:rPr>
        <w:t>Quanto segue è divulgato per conto della divisione servizi finanziari della società John Deere Capital Corporation (JDCC).</w:t>
      </w:r>
    </w:p>
    <w:p w:rsidR="007B36B3" w:rsidRPr="007B36B3" w:rsidRDefault="007B36B3" w:rsidP="007B36B3">
      <w:pPr>
        <w:jc w:val="both"/>
        <w:rPr>
          <w:rFonts w:ascii="Verdana" w:hAnsi="Verdana" w:cs="Calibri"/>
          <w:color w:val="000000"/>
          <w:szCs w:val="22"/>
        </w:rPr>
      </w:pPr>
    </w:p>
    <w:p w:rsidR="007B36B3" w:rsidRPr="00382F32" w:rsidRDefault="007B36B3" w:rsidP="007B36B3">
      <w:pPr>
        <w:rPr>
          <w:rFonts w:ascii="Verdana" w:hAnsi="Verdana" w:cs="Calibri"/>
          <w:b/>
          <w:color w:val="000000"/>
          <w:sz w:val="18"/>
          <w:szCs w:val="18"/>
        </w:rPr>
      </w:pPr>
      <w:r w:rsidRPr="00382F32">
        <w:rPr>
          <w:rFonts w:ascii="Verdana" w:hAnsi="Verdana" w:cs="Calibri"/>
          <w:b/>
          <w:color w:val="000000"/>
          <w:sz w:val="18"/>
          <w:szCs w:val="18"/>
        </w:rPr>
        <w:tab/>
      </w:r>
      <w:r w:rsidRPr="00382F32">
        <w:rPr>
          <w:rFonts w:ascii="Verdana" w:hAnsi="Verdana" w:cs="Calibri"/>
          <w:b/>
          <w:color w:val="000000"/>
          <w:sz w:val="18"/>
          <w:szCs w:val="18"/>
        </w:rPr>
        <w:tab/>
      </w:r>
      <w:r w:rsidRPr="00382F32">
        <w:rPr>
          <w:rFonts w:ascii="Verdana" w:hAnsi="Verdana" w:cs="Calibri"/>
          <w:b/>
          <w:color w:val="000000"/>
          <w:sz w:val="18"/>
          <w:szCs w:val="18"/>
        </w:rPr>
        <w:tab/>
      </w:r>
      <w:r w:rsidRPr="00382F32">
        <w:rPr>
          <w:rFonts w:ascii="Verdana" w:hAnsi="Verdana" w:cs="Calibri"/>
          <w:b/>
          <w:color w:val="000000"/>
          <w:sz w:val="18"/>
          <w:szCs w:val="18"/>
        </w:rPr>
        <w:tab/>
        <w:t>Secondo Trimestre</w:t>
      </w:r>
      <w:r w:rsidRPr="00382F32">
        <w:rPr>
          <w:rFonts w:ascii="Verdana" w:hAnsi="Verdana" w:cs="Calibri"/>
          <w:b/>
          <w:color w:val="000000"/>
          <w:sz w:val="18"/>
          <w:szCs w:val="18"/>
        </w:rPr>
        <w:tab/>
      </w:r>
      <w:r w:rsidRPr="00382F32">
        <w:rPr>
          <w:rFonts w:ascii="Verdana" w:hAnsi="Verdana" w:cs="Calibri"/>
          <w:b/>
          <w:color w:val="000000"/>
          <w:sz w:val="18"/>
          <w:szCs w:val="18"/>
        </w:rPr>
        <w:tab/>
        <w:t>Anno su anno</w:t>
      </w:r>
    </w:p>
    <w:p w:rsidR="007B36B3" w:rsidRPr="00382F32" w:rsidRDefault="007B36B3" w:rsidP="007B36B3">
      <w:pPr>
        <w:rPr>
          <w:rFonts w:ascii="Verdana" w:hAnsi="Verdana" w:cs="Calibri"/>
          <w:color w:val="000000"/>
          <w:sz w:val="18"/>
          <w:szCs w:val="18"/>
        </w:rPr>
      </w:pPr>
      <w:r w:rsidRPr="00382F32">
        <w:rPr>
          <w:rFonts w:ascii="Verdana" w:hAnsi="Verdana" w:cs="Calibri"/>
          <w:color w:val="000000"/>
          <w:sz w:val="18"/>
          <w:szCs w:val="18"/>
        </w:rPr>
        <w:t>Valori in milioni di dollari</w:t>
      </w:r>
      <w:r w:rsidRPr="00382F32">
        <w:rPr>
          <w:rFonts w:ascii="Verdana" w:hAnsi="Verdana" w:cs="Calibri"/>
          <w:color w:val="000000"/>
          <w:sz w:val="18"/>
          <w:szCs w:val="18"/>
        </w:rPr>
        <w:tab/>
        <w:t>2019</w:t>
      </w:r>
      <w:r w:rsidRPr="00382F32">
        <w:rPr>
          <w:rFonts w:ascii="Verdana" w:hAnsi="Verdana" w:cs="Calibri"/>
          <w:color w:val="000000"/>
          <w:sz w:val="18"/>
          <w:szCs w:val="18"/>
        </w:rPr>
        <w:tab/>
        <w:t>2018</w:t>
      </w:r>
      <w:r w:rsidRPr="00382F32">
        <w:rPr>
          <w:rFonts w:ascii="Verdana" w:hAnsi="Verdana" w:cs="Calibri"/>
          <w:color w:val="000000"/>
          <w:sz w:val="18"/>
          <w:szCs w:val="18"/>
        </w:rPr>
        <w:tab/>
        <w:t>variazione %</w:t>
      </w:r>
      <w:r w:rsidRPr="00382F32">
        <w:rPr>
          <w:rFonts w:ascii="Verdana" w:hAnsi="Verdana" w:cs="Calibri"/>
          <w:color w:val="000000"/>
          <w:sz w:val="18"/>
          <w:szCs w:val="18"/>
        </w:rPr>
        <w:tab/>
        <w:t>2019</w:t>
      </w:r>
      <w:r w:rsidRPr="00382F32">
        <w:rPr>
          <w:rFonts w:ascii="Verdana" w:hAnsi="Verdana" w:cs="Calibri"/>
          <w:color w:val="000000"/>
          <w:sz w:val="18"/>
          <w:szCs w:val="18"/>
        </w:rPr>
        <w:tab/>
        <w:t>2018</w:t>
      </w:r>
      <w:r w:rsidRPr="00382F32">
        <w:rPr>
          <w:rFonts w:ascii="Verdana" w:hAnsi="Verdana" w:cs="Calibri"/>
          <w:color w:val="000000"/>
          <w:sz w:val="18"/>
          <w:szCs w:val="18"/>
        </w:rPr>
        <w:tab/>
        <w:t>variazione %</w:t>
      </w:r>
    </w:p>
    <w:p w:rsidR="007B36B3" w:rsidRPr="00382F32" w:rsidRDefault="007B36B3" w:rsidP="007B36B3">
      <w:pPr>
        <w:rPr>
          <w:rFonts w:ascii="Verdana" w:hAnsi="Verdana" w:cs="Calibri"/>
          <w:color w:val="000000"/>
          <w:sz w:val="18"/>
          <w:szCs w:val="18"/>
        </w:rPr>
      </w:pPr>
      <w:r w:rsidRPr="00382F32">
        <w:rPr>
          <w:rFonts w:ascii="Verdana" w:hAnsi="Verdana" w:cs="Calibri"/>
          <w:color w:val="000000"/>
          <w:sz w:val="18"/>
          <w:szCs w:val="18"/>
        </w:rPr>
        <w:t>Ricavi</w:t>
      </w:r>
      <w:r w:rsidRPr="00382F32">
        <w:rPr>
          <w:rFonts w:ascii="Verdana" w:hAnsi="Verdana" w:cs="Calibri"/>
          <w:color w:val="000000"/>
          <w:sz w:val="18"/>
          <w:szCs w:val="18"/>
        </w:rPr>
        <w:tab/>
      </w:r>
      <w:r w:rsidRPr="00382F32">
        <w:rPr>
          <w:rFonts w:ascii="Verdana" w:hAnsi="Verdana" w:cs="Calibri"/>
          <w:color w:val="000000"/>
          <w:sz w:val="18"/>
          <w:szCs w:val="18"/>
        </w:rPr>
        <w:tab/>
      </w:r>
      <w:r w:rsidRPr="00382F32">
        <w:rPr>
          <w:rFonts w:ascii="Verdana" w:hAnsi="Verdana" w:cs="Calibri"/>
          <w:color w:val="000000"/>
          <w:sz w:val="18"/>
          <w:szCs w:val="18"/>
        </w:rPr>
        <w:tab/>
      </w:r>
      <w:r w:rsidRPr="00382F32">
        <w:rPr>
          <w:rFonts w:ascii="Verdana" w:hAnsi="Verdana" w:cs="Calibri"/>
          <w:color w:val="000000"/>
          <w:sz w:val="18"/>
          <w:szCs w:val="18"/>
        </w:rPr>
        <w:tab/>
        <w:t>703</w:t>
      </w:r>
      <w:r w:rsidRPr="00382F32">
        <w:rPr>
          <w:rFonts w:ascii="Verdana" w:hAnsi="Verdana" w:cs="Calibri"/>
          <w:color w:val="000000"/>
          <w:sz w:val="18"/>
          <w:szCs w:val="18"/>
        </w:rPr>
        <w:tab/>
        <w:t>617</w:t>
      </w:r>
      <w:r w:rsidRPr="00382F32">
        <w:rPr>
          <w:rFonts w:ascii="Verdana" w:hAnsi="Verdana" w:cs="Calibri"/>
          <w:color w:val="000000"/>
          <w:sz w:val="18"/>
          <w:szCs w:val="18"/>
        </w:rPr>
        <w:tab/>
        <w:t>14%</w:t>
      </w:r>
      <w:r w:rsidRPr="00382F32">
        <w:rPr>
          <w:rFonts w:ascii="Verdana" w:hAnsi="Verdana" w:cs="Calibri"/>
          <w:color w:val="000000"/>
          <w:sz w:val="18"/>
          <w:szCs w:val="18"/>
        </w:rPr>
        <w:tab/>
      </w:r>
      <w:r w:rsidRPr="00382F32">
        <w:rPr>
          <w:rFonts w:ascii="Verdana" w:hAnsi="Verdana" w:cs="Calibri"/>
          <w:color w:val="000000"/>
          <w:sz w:val="18"/>
          <w:szCs w:val="18"/>
        </w:rPr>
        <w:tab/>
        <w:t>1.364</w:t>
      </w:r>
      <w:r w:rsidRPr="00382F32">
        <w:rPr>
          <w:rFonts w:ascii="Verdana" w:hAnsi="Verdana" w:cs="Calibri"/>
          <w:color w:val="000000"/>
          <w:sz w:val="18"/>
          <w:szCs w:val="18"/>
        </w:rPr>
        <w:tab/>
        <w:t>1.203</w:t>
      </w:r>
      <w:r w:rsidRPr="00382F32">
        <w:rPr>
          <w:rFonts w:ascii="Verdana" w:hAnsi="Verdana" w:cs="Calibri"/>
          <w:color w:val="000000"/>
          <w:sz w:val="18"/>
          <w:szCs w:val="18"/>
        </w:rPr>
        <w:tab/>
        <w:t>13%</w:t>
      </w:r>
    </w:p>
    <w:p w:rsidR="007B36B3" w:rsidRPr="00382F32" w:rsidRDefault="007B36B3" w:rsidP="007B36B3">
      <w:pPr>
        <w:rPr>
          <w:rFonts w:ascii="Verdana" w:hAnsi="Verdana" w:cs="Calibri"/>
          <w:color w:val="000000"/>
          <w:sz w:val="18"/>
          <w:szCs w:val="18"/>
        </w:rPr>
      </w:pPr>
      <w:r w:rsidRPr="00382F32">
        <w:rPr>
          <w:rFonts w:ascii="Verdana" w:hAnsi="Verdana" w:cs="Calibri"/>
          <w:color w:val="000000"/>
          <w:sz w:val="18"/>
          <w:szCs w:val="18"/>
        </w:rPr>
        <w:t>Utile netto</w:t>
      </w:r>
      <w:r w:rsidRPr="00382F32">
        <w:rPr>
          <w:rFonts w:ascii="Verdana" w:hAnsi="Verdana" w:cs="Calibri"/>
          <w:color w:val="000000"/>
          <w:sz w:val="18"/>
          <w:szCs w:val="18"/>
        </w:rPr>
        <w:tab/>
      </w:r>
      <w:r w:rsidRPr="00382F32">
        <w:rPr>
          <w:rFonts w:ascii="Verdana" w:hAnsi="Verdana" w:cs="Calibri"/>
          <w:color w:val="000000"/>
          <w:sz w:val="18"/>
          <w:szCs w:val="18"/>
        </w:rPr>
        <w:tab/>
      </w:r>
      <w:r w:rsidRPr="00382F32">
        <w:rPr>
          <w:rFonts w:ascii="Verdana" w:hAnsi="Verdana" w:cs="Calibri"/>
          <w:color w:val="000000"/>
          <w:sz w:val="18"/>
          <w:szCs w:val="18"/>
        </w:rPr>
        <w:tab/>
        <w:t>84</w:t>
      </w:r>
      <w:r w:rsidRPr="00382F32">
        <w:rPr>
          <w:rFonts w:ascii="Verdana" w:hAnsi="Verdana" w:cs="Calibri"/>
          <w:color w:val="000000"/>
          <w:sz w:val="18"/>
          <w:szCs w:val="18"/>
        </w:rPr>
        <w:tab/>
        <w:t>119</w:t>
      </w:r>
      <w:r w:rsidRPr="00382F32">
        <w:rPr>
          <w:rFonts w:ascii="Verdana" w:hAnsi="Verdana" w:cs="Calibri"/>
          <w:color w:val="000000"/>
          <w:sz w:val="18"/>
          <w:szCs w:val="18"/>
        </w:rPr>
        <w:tab/>
        <w:t>-29%</w:t>
      </w:r>
      <w:r w:rsidRPr="00382F32">
        <w:rPr>
          <w:rFonts w:ascii="Verdana" w:hAnsi="Verdana" w:cs="Calibri"/>
          <w:color w:val="000000"/>
          <w:sz w:val="18"/>
          <w:szCs w:val="18"/>
        </w:rPr>
        <w:tab/>
      </w:r>
      <w:r w:rsidRPr="00382F32">
        <w:rPr>
          <w:rFonts w:ascii="Verdana" w:hAnsi="Verdana" w:cs="Calibri"/>
          <w:color w:val="000000"/>
          <w:sz w:val="18"/>
          <w:szCs w:val="18"/>
        </w:rPr>
        <w:tab/>
        <w:t>206</w:t>
      </w:r>
      <w:r w:rsidRPr="00382F32">
        <w:rPr>
          <w:rFonts w:ascii="Verdana" w:hAnsi="Verdana" w:cs="Calibri"/>
          <w:color w:val="000000"/>
          <w:sz w:val="18"/>
          <w:szCs w:val="18"/>
        </w:rPr>
        <w:tab/>
        <w:t>519</w:t>
      </w:r>
      <w:r w:rsidRPr="00382F32">
        <w:rPr>
          <w:rFonts w:ascii="Verdana" w:hAnsi="Verdana" w:cs="Calibri"/>
          <w:color w:val="000000"/>
          <w:sz w:val="18"/>
          <w:szCs w:val="18"/>
        </w:rPr>
        <w:tab/>
        <w:t>-60%</w:t>
      </w:r>
    </w:p>
    <w:p w:rsidR="007B36B3" w:rsidRPr="00382F32" w:rsidRDefault="007B36B3" w:rsidP="007B36B3">
      <w:pPr>
        <w:rPr>
          <w:rFonts w:ascii="Verdana" w:hAnsi="Verdana" w:cs="Calibri"/>
          <w:color w:val="000000"/>
          <w:sz w:val="18"/>
          <w:szCs w:val="18"/>
        </w:rPr>
      </w:pPr>
      <w:r w:rsidRPr="00382F32">
        <w:rPr>
          <w:rFonts w:ascii="Verdana" w:hAnsi="Verdana" w:cs="Calibri"/>
          <w:color w:val="000000"/>
          <w:sz w:val="18"/>
          <w:szCs w:val="18"/>
        </w:rPr>
        <w:t>Saldo finale portfolio</w:t>
      </w:r>
      <w:r w:rsidRPr="00382F32">
        <w:rPr>
          <w:rFonts w:ascii="Verdana" w:hAnsi="Verdana" w:cs="Calibri"/>
          <w:color w:val="000000"/>
          <w:sz w:val="18"/>
          <w:szCs w:val="18"/>
        </w:rPr>
        <w:tab/>
      </w:r>
      <w:r w:rsidRPr="00382F32">
        <w:rPr>
          <w:rFonts w:ascii="Verdana" w:hAnsi="Verdana" w:cs="Calibri"/>
          <w:color w:val="000000"/>
          <w:sz w:val="18"/>
          <w:szCs w:val="18"/>
        </w:rPr>
        <w:tab/>
      </w:r>
      <w:r w:rsidR="00382F32">
        <w:rPr>
          <w:rFonts w:ascii="Verdana" w:hAnsi="Verdana" w:cs="Calibri"/>
          <w:color w:val="000000"/>
          <w:sz w:val="18"/>
          <w:szCs w:val="18"/>
        </w:rPr>
        <w:tab/>
      </w:r>
      <w:r w:rsidR="00382F32">
        <w:rPr>
          <w:rFonts w:ascii="Verdana" w:hAnsi="Verdana" w:cs="Calibri"/>
          <w:color w:val="000000"/>
          <w:sz w:val="18"/>
          <w:szCs w:val="18"/>
        </w:rPr>
        <w:tab/>
      </w:r>
      <w:r w:rsidR="00382F32">
        <w:rPr>
          <w:rFonts w:ascii="Verdana" w:hAnsi="Verdana" w:cs="Calibri"/>
          <w:color w:val="000000"/>
          <w:sz w:val="18"/>
          <w:szCs w:val="18"/>
        </w:rPr>
        <w:tab/>
      </w:r>
      <w:r w:rsidR="00382F32">
        <w:rPr>
          <w:rFonts w:ascii="Verdana" w:hAnsi="Verdana" w:cs="Calibri"/>
          <w:color w:val="000000"/>
          <w:sz w:val="18"/>
          <w:szCs w:val="18"/>
        </w:rPr>
        <w:tab/>
      </w:r>
      <w:r w:rsidRPr="00382F32">
        <w:rPr>
          <w:rFonts w:ascii="Verdana" w:hAnsi="Verdana" w:cs="Calibri"/>
          <w:color w:val="000000"/>
          <w:sz w:val="18"/>
          <w:szCs w:val="18"/>
        </w:rPr>
        <w:t>37.747</w:t>
      </w:r>
      <w:r w:rsidRPr="00382F32">
        <w:rPr>
          <w:rFonts w:ascii="Verdana" w:hAnsi="Verdana" w:cs="Calibri"/>
          <w:color w:val="000000"/>
          <w:sz w:val="18"/>
          <w:szCs w:val="18"/>
        </w:rPr>
        <w:tab/>
        <w:t>34.535</w:t>
      </w:r>
      <w:r w:rsidRPr="00382F32">
        <w:rPr>
          <w:rFonts w:ascii="Verdana" w:hAnsi="Verdana" w:cs="Calibri"/>
          <w:color w:val="000000"/>
          <w:sz w:val="18"/>
          <w:szCs w:val="18"/>
        </w:rPr>
        <w:tab/>
        <w:t>9%</w:t>
      </w:r>
    </w:p>
    <w:p w:rsidR="007B36B3" w:rsidRPr="00382F32" w:rsidRDefault="007B36B3" w:rsidP="007B36B3">
      <w:pPr>
        <w:rPr>
          <w:rFonts w:ascii="Verdana" w:hAnsi="Verdana" w:cs="Calibri"/>
          <w:color w:val="000000"/>
          <w:sz w:val="18"/>
          <w:szCs w:val="18"/>
        </w:rPr>
      </w:pPr>
    </w:p>
    <w:p w:rsidR="007B36B3" w:rsidRPr="007B36B3" w:rsidRDefault="007B36B3" w:rsidP="007B36B3">
      <w:pPr>
        <w:jc w:val="both"/>
        <w:rPr>
          <w:rFonts w:ascii="Verdana" w:hAnsi="Verdana" w:cs="Calibri"/>
          <w:color w:val="000000"/>
          <w:szCs w:val="22"/>
        </w:rPr>
      </w:pPr>
      <w:r w:rsidRPr="007B36B3">
        <w:rPr>
          <w:rFonts w:ascii="Verdana" w:hAnsi="Verdana" w:cs="Calibri"/>
          <w:color w:val="000000"/>
          <w:szCs w:val="22"/>
        </w:rPr>
        <w:t>I risultati dell'anno precedente includono accantonamenti favorevoli relativi alle imposte sul reddito derivanti dalla riforma fiscale. I risultati del trimestre corrente e dei primi sei mesi tengono conto di uno spread finanziario meno favorevole, parzialmente compensato dai ricavi derivanti da un portfolio mediamente più alto.</w:t>
      </w:r>
    </w:p>
    <w:p w:rsidR="007B36B3" w:rsidRPr="007B36B3" w:rsidRDefault="007B36B3" w:rsidP="007B36B3">
      <w:pPr>
        <w:rPr>
          <w:rFonts w:ascii="Verdana" w:hAnsi="Verdana" w:cs="Calibri"/>
          <w:b/>
          <w:szCs w:val="22"/>
        </w:rPr>
      </w:pPr>
    </w:p>
    <w:p w:rsidR="00B755CB" w:rsidRPr="007B36B3" w:rsidRDefault="00B755CB" w:rsidP="007B36B3">
      <w:pPr>
        <w:jc w:val="both"/>
        <w:rPr>
          <w:rStyle w:val="JDBodyText12ptBlackChar"/>
          <w:sz w:val="22"/>
          <w:szCs w:val="22"/>
        </w:rPr>
      </w:pPr>
    </w:p>
    <w:sectPr w:rsidR="00B755CB" w:rsidRPr="007B36B3" w:rsidSect="00A13BB9">
      <w:headerReference w:type="default" r:id="rId11"/>
      <w:headerReference w:type="first" r:id="rId12"/>
      <w:footerReference w:type="first" r:id="rId13"/>
      <w:type w:val="continuous"/>
      <w:pgSz w:w="11907" w:h="16840" w:code="9"/>
      <w:pgMar w:top="567" w:right="1457" w:bottom="567" w:left="1797" w:header="567" w:footer="567"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CF8" w:rsidRDefault="00361CF8">
      <w:r>
        <w:separator/>
      </w:r>
    </w:p>
  </w:endnote>
  <w:endnote w:type="continuationSeparator" w:id="1">
    <w:p w:rsidR="00361CF8" w:rsidRDefault="00361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5F3" w:rsidRPr="004B6648" w:rsidRDefault="007D15F3" w:rsidP="007D15F3">
    <w:pPr>
      <w:spacing w:line="259" w:lineRule="auto"/>
      <w:jc w:val="center"/>
      <w:rPr>
        <w:rFonts w:cs="Arial"/>
        <w:sz w:val="15"/>
        <w:szCs w:val="15"/>
        <w:u w:val="single"/>
        <w:lang w:val="de-DE"/>
      </w:rPr>
    </w:pPr>
    <w:r w:rsidRPr="002A6EB0">
      <w:rPr>
        <w:rFonts w:cs="Arial"/>
        <w:sz w:val="15"/>
        <w:szCs w:val="15"/>
        <w:lang w:val="en-US"/>
      </w:rPr>
      <w:t xml:space="preserve">John Deere Walldorf GmbH &amp; Co. </w:t>
    </w:r>
    <w:r>
      <w:rPr>
        <w:rFonts w:cs="Arial"/>
        <w:sz w:val="15"/>
        <w:szCs w:val="15"/>
      </w:rPr>
      <w:t>KG, Sede di Walldorf, Tribunale di Mannheim HRA 707944</w:t>
    </w:r>
  </w:p>
  <w:p w:rsidR="007D15F3" w:rsidRDefault="007D15F3" w:rsidP="007D15F3">
    <w:pPr>
      <w:spacing w:line="259" w:lineRule="auto"/>
      <w:jc w:val="center"/>
      <w:rPr>
        <w:rFonts w:cs="Arial"/>
        <w:sz w:val="15"/>
        <w:szCs w:val="15"/>
        <w:lang w:val="de-DE"/>
      </w:rPr>
    </w:pPr>
    <w:r>
      <w:rPr>
        <w:rFonts w:cs="Arial"/>
        <w:sz w:val="15"/>
        <w:szCs w:val="15"/>
      </w:rPr>
      <w:t>Socia accomandataria: John Deere Walldorf GmbH, Sede di Lussemburgo, R.C.S. Luxemburg B 220944</w:t>
    </w:r>
  </w:p>
  <w:p w:rsidR="007D15F3" w:rsidRPr="006F42E2" w:rsidRDefault="007D15F3" w:rsidP="007D15F3">
    <w:pPr>
      <w:spacing w:line="259" w:lineRule="auto"/>
      <w:jc w:val="center"/>
      <w:rPr>
        <w:rFonts w:cs="Arial"/>
        <w:sz w:val="15"/>
        <w:szCs w:val="15"/>
        <w:lang w:val="de-DE"/>
      </w:rPr>
    </w:pPr>
    <w:r>
      <w:rPr>
        <w:rFonts w:cs="Arial"/>
        <w:sz w:val="15"/>
        <w:szCs w:val="15"/>
      </w:rPr>
      <w:t>Amministratori: Dott. Volker Knickel, Dott. Wolfgang Voß, Christoph Wigger</w:t>
    </w:r>
  </w:p>
  <w:p w:rsidR="00C92C77" w:rsidRPr="00287085" w:rsidRDefault="00C92C77" w:rsidP="00287085">
    <w:pPr>
      <w:pStyle w:val="Pidipagina"/>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CF8" w:rsidRDefault="00361CF8">
      <w:r>
        <w:separator/>
      </w:r>
    </w:p>
  </w:footnote>
  <w:footnote w:type="continuationSeparator" w:id="1">
    <w:p w:rsidR="00361CF8" w:rsidRDefault="00361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21" w:type="dxa"/>
      <w:tblLayout w:type="fixed"/>
      <w:tblCellMar>
        <w:left w:w="198" w:type="dxa"/>
        <w:right w:w="198" w:type="dxa"/>
      </w:tblCellMar>
      <w:tblLook w:val="0000"/>
    </w:tblPr>
    <w:tblGrid>
      <w:gridCol w:w="6039"/>
      <w:gridCol w:w="3827"/>
    </w:tblGrid>
    <w:tr w:rsidR="00C92C77">
      <w:tc>
        <w:tcPr>
          <w:tcW w:w="6039" w:type="dxa"/>
        </w:tcPr>
        <w:p w:rsidR="00C92C77" w:rsidRDefault="00C92C77">
          <w:pPr>
            <w:spacing w:before="240"/>
            <w:ind w:left="170" w:right="-680"/>
            <w:rPr>
              <w:sz w:val="24"/>
            </w:rPr>
          </w:pPr>
        </w:p>
        <w:p w:rsidR="00EC654F" w:rsidRDefault="00EC654F">
          <w:pPr>
            <w:spacing w:before="240"/>
            <w:ind w:left="170" w:right="-680"/>
            <w:rPr>
              <w:sz w:val="24"/>
            </w:rPr>
          </w:pPr>
        </w:p>
      </w:tc>
      <w:tc>
        <w:tcPr>
          <w:tcW w:w="3827" w:type="dxa"/>
        </w:tcPr>
        <w:p w:rsidR="00C92C77" w:rsidRPr="00826155" w:rsidRDefault="00C92C77">
          <w:pPr>
            <w:pStyle w:val="Titolo1"/>
            <w:spacing w:before="567"/>
            <w:ind w:right="-57" w:hanging="142"/>
            <w:jc w:val="right"/>
            <w:rPr>
              <w:rFonts w:ascii="Verdana" w:hAnsi="Verdana"/>
              <w:b w:val="0"/>
              <w:sz w:val="16"/>
              <w:szCs w:val="16"/>
              <w:lang w:val="de-DE"/>
            </w:rPr>
          </w:pPr>
          <w:r w:rsidRPr="00826155">
            <w:rPr>
              <w:rStyle w:val="Numeropagina"/>
              <w:rFonts w:ascii="Verdana" w:hAnsi="Verdana"/>
              <w:b w:val="0"/>
              <w:sz w:val="16"/>
              <w:szCs w:val="16"/>
            </w:rPr>
            <w:t xml:space="preserve">- </w:t>
          </w:r>
          <w:r w:rsidR="007514C4" w:rsidRPr="00826155">
            <w:rPr>
              <w:rFonts w:ascii="Verdana" w:hAnsi="Verdana"/>
              <w:sz w:val="16"/>
              <w:szCs w:val="16"/>
            </w:rPr>
            <w:fldChar w:fldCharType="begin"/>
          </w:r>
          <w:r w:rsidRPr="00826155">
            <w:rPr>
              <w:rStyle w:val="Numeropagina"/>
              <w:rFonts w:ascii="Verdana" w:hAnsi="Verdana"/>
              <w:b w:val="0"/>
              <w:noProof/>
              <w:sz w:val="16"/>
              <w:szCs w:val="16"/>
            </w:rPr>
            <w:instrText xml:space="preserve"> PAGE </w:instrText>
          </w:r>
          <w:r w:rsidR="007514C4" w:rsidRPr="00826155">
            <w:rPr>
              <w:rFonts w:ascii="Verdana" w:hAnsi="Verdana"/>
              <w:sz w:val="16"/>
              <w:szCs w:val="16"/>
            </w:rPr>
            <w:fldChar w:fldCharType="separate"/>
          </w:r>
          <w:r w:rsidR="00B27081">
            <w:rPr>
              <w:rStyle w:val="Numeropagina"/>
              <w:rFonts w:ascii="Verdana" w:hAnsi="Verdana"/>
              <w:b w:val="0"/>
              <w:noProof/>
              <w:sz w:val="16"/>
              <w:szCs w:val="16"/>
            </w:rPr>
            <w:t>4</w:t>
          </w:r>
          <w:r w:rsidR="007514C4" w:rsidRPr="00826155">
            <w:rPr>
              <w:rFonts w:ascii="Verdana" w:hAnsi="Verdana"/>
              <w:sz w:val="16"/>
              <w:szCs w:val="16"/>
            </w:rPr>
            <w:fldChar w:fldCharType="end"/>
          </w:r>
          <w:r w:rsidRPr="00826155">
            <w:rPr>
              <w:rStyle w:val="Numeropagina"/>
              <w:rFonts w:ascii="Verdana" w:hAnsi="Verdana"/>
              <w:b w:val="0"/>
              <w:sz w:val="16"/>
              <w:szCs w:val="16"/>
            </w:rPr>
            <w:t xml:space="preserve"> -</w:t>
          </w:r>
        </w:p>
        <w:p w:rsidR="00C92C77" w:rsidRDefault="00C92C77">
          <w:pPr>
            <w:pStyle w:val="Titolo2"/>
            <w:ind w:hanging="142"/>
          </w:pPr>
        </w:p>
      </w:tc>
    </w:tr>
  </w:tbl>
  <w:p w:rsidR="00C92C77" w:rsidRDefault="00C92C77">
    <w:pPr>
      <w:pStyle w:val="Intestazione"/>
      <w:rPr>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078" w:type="dxa"/>
      <w:tblInd w:w="-1021" w:type="dxa"/>
      <w:tblLayout w:type="fixed"/>
      <w:tblCellMar>
        <w:left w:w="198" w:type="dxa"/>
        <w:right w:w="198" w:type="dxa"/>
      </w:tblCellMar>
      <w:tblLook w:val="0000"/>
    </w:tblPr>
    <w:tblGrid>
      <w:gridCol w:w="6039"/>
      <w:gridCol w:w="6039"/>
    </w:tblGrid>
    <w:tr w:rsidR="00F34E40" w:rsidRPr="00F34E40" w:rsidTr="00F34E40">
      <w:tc>
        <w:tcPr>
          <w:tcW w:w="6039" w:type="dxa"/>
        </w:tcPr>
        <w:p w:rsidR="00F34E40" w:rsidRDefault="00F34E40" w:rsidP="00F34E40">
          <w:pPr>
            <w:spacing w:before="240"/>
            <w:ind w:left="170" w:right="-680"/>
            <w:rPr>
              <w:sz w:val="24"/>
            </w:rPr>
          </w:pPr>
          <w:r w:rsidRPr="00A240D4">
            <w:rPr>
              <w:noProof/>
              <w:sz w:val="24"/>
            </w:rPr>
            <w:drawing>
              <wp:anchor distT="0" distB="0" distL="114300" distR="114300" simplePos="0" relativeHeight="251665408" behindDoc="0" locked="0" layoutInCell="1" allowOverlap="1">
                <wp:simplePos x="0" y="0"/>
                <wp:positionH relativeFrom="column">
                  <wp:posOffset>-43180</wp:posOffset>
                </wp:positionH>
                <wp:positionV relativeFrom="paragraph">
                  <wp:posOffset>43815</wp:posOffset>
                </wp:positionV>
                <wp:extent cx="2423160" cy="74168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D_black_RGB_h"/>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423160" cy="741680"/>
                        </a:xfrm>
                        <a:prstGeom prst="rect">
                          <a:avLst/>
                        </a:prstGeom>
                        <a:noFill/>
                        <a:ln w="9525">
                          <a:noFill/>
                          <a:miter lim="800000"/>
                          <a:headEnd/>
                          <a:tailEnd/>
                        </a:ln>
                      </pic:spPr>
                    </pic:pic>
                  </a:graphicData>
                </a:graphic>
              </wp:anchor>
            </w:drawing>
          </w:r>
        </w:p>
        <w:p w:rsidR="00F34E40" w:rsidRDefault="00F34E40" w:rsidP="00F34E40">
          <w:pPr>
            <w:spacing w:before="240"/>
            <w:ind w:left="170" w:right="-680"/>
            <w:rPr>
              <w:sz w:val="24"/>
            </w:rPr>
          </w:pPr>
        </w:p>
        <w:p w:rsidR="00F34E40" w:rsidRDefault="00F34E40" w:rsidP="00F34E40">
          <w:pPr>
            <w:ind w:left="170" w:right="-680"/>
            <w:rPr>
              <w:sz w:val="24"/>
            </w:rPr>
          </w:pPr>
        </w:p>
      </w:tc>
      <w:tc>
        <w:tcPr>
          <w:tcW w:w="6039" w:type="dxa"/>
        </w:tcPr>
        <w:p w:rsidR="00F34E40" w:rsidRPr="00F34E40" w:rsidRDefault="00F34E40" w:rsidP="00F34E40">
          <w:pPr>
            <w:pStyle w:val="Intestazione"/>
            <w:ind w:left="-142" w:right="-533"/>
            <w:rPr>
              <w:szCs w:val="18"/>
              <w:lang w:val="de-DE"/>
            </w:rPr>
          </w:pPr>
          <w:r w:rsidRPr="002A6EB0">
            <w:rPr>
              <w:szCs w:val="18"/>
              <w:lang w:val="en-US"/>
            </w:rPr>
            <w:t xml:space="preserve">John Deere Walldorf GmbH &amp; Co. </w:t>
          </w:r>
          <w:r>
            <w:rPr>
              <w:szCs w:val="18"/>
            </w:rPr>
            <w:t>KG</w:t>
          </w:r>
        </w:p>
        <w:p w:rsidR="00F34E40" w:rsidRPr="00F34E40" w:rsidRDefault="00F34E40" w:rsidP="00F34E40">
          <w:pPr>
            <w:pStyle w:val="Intestazione"/>
            <w:ind w:left="-142" w:right="-533"/>
            <w:rPr>
              <w:szCs w:val="18"/>
              <w:lang w:val="de-DE"/>
            </w:rPr>
          </w:pPr>
          <w:r>
            <w:rPr>
              <w:szCs w:val="18"/>
            </w:rPr>
            <w:t xml:space="preserve">Altrottstraße 31 </w:t>
          </w:r>
        </w:p>
        <w:p w:rsidR="00F34E40" w:rsidRPr="00F34E40" w:rsidRDefault="00F34E40" w:rsidP="00F34E40">
          <w:pPr>
            <w:pStyle w:val="Intestazione"/>
            <w:ind w:left="-142" w:right="-533"/>
            <w:rPr>
              <w:szCs w:val="18"/>
              <w:lang w:val="de-DE"/>
            </w:rPr>
          </w:pPr>
          <w:r>
            <w:rPr>
              <w:szCs w:val="18"/>
            </w:rPr>
            <w:t xml:space="preserve">69190 Walldorf • Germania </w:t>
          </w:r>
        </w:p>
        <w:p w:rsidR="00F34E40" w:rsidRPr="00F34E40" w:rsidRDefault="00F34E40" w:rsidP="00F34E40">
          <w:pPr>
            <w:pStyle w:val="Intestazione"/>
            <w:ind w:left="-142" w:right="-533"/>
            <w:rPr>
              <w:szCs w:val="18"/>
              <w:lang w:val="de-DE"/>
            </w:rPr>
          </w:pPr>
        </w:p>
        <w:p w:rsidR="00F34E40" w:rsidRPr="00F34E40" w:rsidRDefault="00B95C02" w:rsidP="00F34E40">
          <w:pPr>
            <w:pStyle w:val="Intestazione"/>
            <w:ind w:left="-142" w:right="-533"/>
            <w:rPr>
              <w:szCs w:val="18"/>
              <w:lang w:val="de-DE"/>
            </w:rPr>
          </w:pPr>
          <w:r>
            <w:rPr>
              <w:szCs w:val="18"/>
            </w:rPr>
            <w:t xml:space="preserve">Ufficio: </w:t>
          </w:r>
        </w:p>
        <w:p w:rsidR="00F34E40" w:rsidRPr="00F34E40" w:rsidRDefault="00F34E40" w:rsidP="00F34E40">
          <w:pPr>
            <w:pStyle w:val="Intestazione"/>
            <w:ind w:left="-142" w:right="-533"/>
            <w:rPr>
              <w:szCs w:val="18"/>
              <w:lang w:val="de-DE"/>
            </w:rPr>
          </w:pPr>
          <w:r>
            <w:rPr>
              <w:szCs w:val="18"/>
            </w:rPr>
            <w:t>John-Deere-Str. 70 • 68163 Mannheim • Germania</w:t>
          </w:r>
        </w:p>
        <w:p w:rsidR="00F34E40" w:rsidRPr="00F34E40" w:rsidRDefault="00F34E40" w:rsidP="00F34E40">
          <w:pPr>
            <w:pStyle w:val="Intestazione"/>
            <w:ind w:left="-142" w:right="-533"/>
            <w:rPr>
              <w:szCs w:val="18"/>
              <w:lang w:val="de-DE"/>
            </w:rPr>
          </w:pPr>
        </w:p>
      </w:tc>
    </w:tr>
    <w:tr w:rsidR="00F34E40" w:rsidRPr="00973361" w:rsidTr="00F34E40">
      <w:tc>
        <w:tcPr>
          <w:tcW w:w="6039" w:type="dxa"/>
        </w:tcPr>
        <w:p w:rsidR="00F34E40" w:rsidRPr="000F1E8A" w:rsidRDefault="00F34E40" w:rsidP="00F34E40">
          <w:pPr>
            <w:spacing w:before="240"/>
            <w:ind w:left="170" w:right="-680"/>
            <w:rPr>
              <w:sz w:val="24"/>
              <w:lang w:val="de-DE"/>
            </w:rPr>
          </w:pPr>
        </w:p>
      </w:tc>
      <w:tc>
        <w:tcPr>
          <w:tcW w:w="6039" w:type="dxa"/>
        </w:tcPr>
        <w:p w:rsidR="00F34E40" w:rsidRPr="00F34E40" w:rsidRDefault="00F34E40" w:rsidP="00F34E40">
          <w:pPr>
            <w:pStyle w:val="Intestazione"/>
            <w:ind w:right="-533" w:hanging="142"/>
            <w:rPr>
              <w:b/>
              <w:szCs w:val="18"/>
            </w:rPr>
          </w:pPr>
          <w:r>
            <w:rPr>
              <w:b/>
              <w:szCs w:val="18"/>
            </w:rPr>
            <w:t>Manager, Pubbliche relazioni</w:t>
          </w:r>
        </w:p>
        <w:p w:rsidR="00F34E40" w:rsidRPr="00F34E40" w:rsidRDefault="00F34E40" w:rsidP="00F34E40">
          <w:pPr>
            <w:pStyle w:val="Intestazione"/>
            <w:ind w:right="-533" w:hanging="142"/>
            <w:rPr>
              <w:b/>
              <w:szCs w:val="18"/>
            </w:rPr>
          </w:pPr>
          <w:r>
            <w:rPr>
              <w:b/>
              <w:szCs w:val="18"/>
            </w:rPr>
            <w:t>Ralf Lenge</w:t>
          </w:r>
        </w:p>
        <w:p w:rsidR="00F34E40" w:rsidRPr="00F34E40" w:rsidRDefault="00B95C02" w:rsidP="00F34E40">
          <w:pPr>
            <w:pStyle w:val="Intestazione"/>
            <w:ind w:right="-533" w:hanging="142"/>
            <w:rPr>
              <w:szCs w:val="18"/>
            </w:rPr>
          </w:pPr>
          <w:r>
            <w:rPr>
              <w:szCs w:val="18"/>
            </w:rPr>
            <w:t>Telefono: +49 (0) 621-8161 • Fax: 829-8300</w:t>
          </w:r>
        </w:p>
        <w:p w:rsidR="00F34E40" w:rsidRPr="00F34E40" w:rsidRDefault="00F34E40" w:rsidP="00F34E40">
          <w:pPr>
            <w:pStyle w:val="Intestazione"/>
            <w:ind w:right="-533" w:hanging="142"/>
            <w:rPr>
              <w:szCs w:val="18"/>
            </w:rPr>
          </w:pPr>
          <w:r>
            <w:rPr>
              <w:szCs w:val="18"/>
            </w:rPr>
            <w:t>E-mail: LengeRalf@JohnDeere.com</w:t>
          </w:r>
        </w:p>
        <w:p w:rsidR="00F34E40" w:rsidRPr="00B95C02" w:rsidRDefault="00F34E40" w:rsidP="00F34E40">
          <w:pPr>
            <w:spacing w:before="240"/>
            <w:ind w:left="170" w:right="-680"/>
            <w:rPr>
              <w:sz w:val="18"/>
              <w:szCs w:val="18"/>
            </w:rPr>
          </w:pPr>
        </w:p>
      </w:tc>
    </w:tr>
  </w:tbl>
  <w:p w:rsidR="00C92C77" w:rsidRPr="00973361" w:rsidRDefault="00C92C77">
    <w:pPr>
      <w:pStyle w:val="Intestazione"/>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326B"/>
    <w:multiLevelType w:val="hybridMultilevel"/>
    <w:tmpl w:val="6930F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A6CB3"/>
    <w:multiLevelType w:val="hybridMultilevel"/>
    <w:tmpl w:val="BAB65E84"/>
    <w:lvl w:ilvl="0" w:tplc="6A5834EC">
      <w:start w:val="1"/>
      <w:numFmt w:val="bullet"/>
      <w:lvlText w:val="•"/>
      <w:lvlJc w:val="left"/>
      <w:pPr>
        <w:tabs>
          <w:tab w:val="num" w:pos="720"/>
        </w:tabs>
        <w:ind w:left="720" w:hanging="360"/>
      </w:pPr>
      <w:rPr>
        <w:rFonts w:ascii="Arial" w:hAnsi="Arial" w:hint="default"/>
      </w:rPr>
    </w:lvl>
    <w:lvl w:ilvl="1" w:tplc="9C98DCB6" w:tentative="1">
      <w:start w:val="1"/>
      <w:numFmt w:val="bullet"/>
      <w:lvlText w:val="•"/>
      <w:lvlJc w:val="left"/>
      <w:pPr>
        <w:tabs>
          <w:tab w:val="num" w:pos="1440"/>
        </w:tabs>
        <w:ind w:left="1440" w:hanging="360"/>
      </w:pPr>
      <w:rPr>
        <w:rFonts w:ascii="Arial" w:hAnsi="Arial" w:hint="default"/>
      </w:rPr>
    </w:lvl>
    <w:lvl w:ilvl="2" w:tplc="F04AD964" w:tentative="1">
      <w:start w:val="1"/>
      <w:numFmt w:val="bullet"/>
      <w:lvlText w:val="•"/>
      <w:lvlJc w:val="left"/>
      <w:pPr>
        <w:tabs>
          <w:tab w:val="num" w:pos="2160"/>
        </w:tabs>
        <w:ind w:left="2160" w:hanging="360"/>
      </w:pPr>
      <w:rPr>
        <w:rFonts w:ascii="Arial" w:hAnsi="Arial" w:hint="default"/>
      </w:rPr>
    </w:lvl>
    <w:lvl w:ilvl="3" w:tplc="8D92C4F8" w:tentative="1">
      <w:start w:val="1"/>
      <w:numFmt w:val="bullet"/>
      <w:lvlText w:val="•"/>
      <w:lvlJc w:val="left"/>
      <w:pPr>
        <w:tabs>
          <w:tab w:val="num" w:pos="2880"/>
        </w:tabs>
        <w:ind w:left="2880" w:hanging="360"/>
      </w:pPr>
      <w:rPr>
        <w:rFonts w:ascii="Arial" w:hAnsi="Arial" w:hint="default"/>
      </w:rPr>
    </w:lvl>
    <w:lvl w:ilvl="4" w:tplc="EC10AC78" w:tentative="1">
      <w:start w:val="1"/>
      <w:numFmt w:val="bullet"/>
      <w:lvlText w:val="•"/>
      <w:lvlJc w:val="left"/>
      <w:pPr>
        <w:tabs>
          <w:tab w:val="num" w:pos="3600"/>
        </w:tabs>
        <w:ind w:left="3600" w:hanging="360"/>
      </w:pPr>
      <w:rPr>
        <w:rFonts w:ascii="Arial" w:hAnsi="Arial" w:hint="default"/>
      </w:rPr>
    </w:lvl>
    <w:lvl w:ilvl="5" w:tplc="FF805A1C" w:tentative="1">
      <w:start w:val="1"/>
      <w:numFmt w:val="bullet"/>
      <w:lvlText w:val="•"/>
      <w:lvlJc w:val="left"/>
      <w:pPr>
        <w:tabs>
          <w:tab w:val="num" w:pos="4320"/>
        </w:tabs>
        <w:ind w:left="4320" w:hanging="360"/>
      </w:pPr>
      <w:rPr>
        <w:rFonts w:ascii="Arial" w:hAnsi="Arial" w:hint="default"/>
      </w:rPr>
    </w:lvl>
    <w:lvl w:ilvl="6" w:tplc="6F688562" w:tentative="1">
      <w:start w:val="1"/>
      <w:numFmt w:val="bullet"/>
      <w:lvlText w:val="•"/>
      <w:lvlJc w:val="left"/>
      <w:pPr>
        <w:tabs>
          <w:tab w:val="num" w:pos="5040"/>
        </w:tabs>
        <w:ind w:left="5040" w:hanging="360"/>
      </w:pPr>
      <w:rPr>
        <w:rFonts w:ascii="Arial" w:hAnsi="Arial" w:hint="default"/>
      </w:rPr>
    </w:lvl>
    <w:lvl w:ilvl="7" w:tplc="8DDA77CC" w:tentative="1">
      <w:start w:val="1"/>
      <w:numFmt w:val="bullet"/>
      <w:lvlText w:val="•"/>
      <w:lvlJc w:val="left"/>
      <w:pPr>
        <w:tabs>
          <w:tab w:val="num" w:pos="5760"/>
        </w:tabs>
        <w:ind w:left="5760" w:hanging="360"/>
      </w:pPr>
      <w:rPr>
        <w:rFonts w:ascii="Arial" w:hAnsi="Arial" w:hint="default"/>
      </w:rPr>
    </w:lvl>
    <w:lvl w:ilvl="8" w:tplc="3F2E44EA" w:tentative="1">
      <w:start w:val="1"/>
      <w:numFmt w:val="bullet"/>
      <w:lvlText w:val="•"/>
      <w:lvlJc w:val="left"/>
      <w:pPr>
        <w:tabs>
          <w:tab w:val="num" w:pos="6480"/>
        </w:tabs>
        <w:ind w:left="6480" w:hanging="360"/>
      </w:pPr>
      <w:rPr>
        <w:rFonts w:ascii="Arial" w:hAnsi="Arial" w:hint="default"/>
      </w:rPr>
    </w:lvl>
  </w:abstractNum>
  <w:abstractNum w:abstractNumId="2">
    <w:nsid w:val="3D14566B"/>
    <w:multiLevelType w:val="hybridMultilevel"/>
    <w:tmpl w:val="10E44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D731C3F"/>
    <w:multiLevelType w:val="hybridMultilevel"/>
    <w:tmpl w:val="A2EA7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1063A1A"/>
    <w:multiLevelType w:val="hybridMultilevel"/>
    <w:tmpl w:val="597EBFBE"/>
    <w:lvl w:ilvl="0" w:tplc="50460CFC">
      <w:start w:val="1"/>
      <w:numFmt w:val="bullet"/>
      <w:lvlText w:val="•"/>
      <w:lvlJc w:val="left"/>
      <w:pPr>
        <w:tabs>
          <w:tab w:val="num" w:pos="720"/>
        </w:tabs>
        <w:ind w:left="720" w:hanging="360"/>
      </w:pPr>
      <w:rPr>
        <w:rFonts w:ascii="Arial" w:hAnsi="Arial" w:hint="default"/>
      </w:rPr>
    </w:lvl>
    <w:lvl w:ilvl="1" w:tplc="6284C92E">
      <w:start w:val="1"/>
      <w:numFmt w:val="bullet"/>
      <w:lvlText w:val="•"/>
      <w:lvlJc w:val="left"/>
      <w:pPr>
        <w:tabs>
          <w:tab w:val="num" w:pos="1440"/>
        </w:tabs>
        <w:ind w:left="1440" w:hanging="360"/>
      </w:pPr>
      <w:rPr>
        <w:rFonts w:ascii="Arial" w:hAnsi="Arial" w:hint="default"/>
      </w:rPr>
    </w:lvl>
    <w:lvl w:ilvl="2" w:tplc="6FDCB13E" w:tentative="1">
      <w:start w:val="1"/>
      <w:numFmt w:val="bullet"/>
      <w:lvlText w:val="•"/>
      <w:lvlJc w:val="left"/>
      <w:pPr>
        <w:tabs>
          <w:tab w:val="num" w:pos="2160"/>
        </w:tabs>
        <w:ind w:left="2160" w:hanging="360"/>
      </w:pPr>
      <w:rPr>
        <w:rFonts w:ascii="Arial" w:hAnsi="Arial" w:hint="default"/>
      </w:rPr>
    </w:lvl>
    <w:lvl w:ilvl="3" w:tplc="18D04F9E" w:tentative="1">
      <w:start w:val="1"/>
      <w:numFmt w:val="bullet"/>
      <w:lvlText w:val="•"/>
      <w:lvlJc w:val="left"/>
      <w:pPr>
        <w:tabs>
          <w:tab w:val="num" w:pos="2880"/>
        </w:tabs>
        <w:ind w:left="2880" w:hanging="360"/>
      </w:pPr>
      <w:rPr>
        <w:rFonts w:ascii="Arial" w:hAnsi="Arial" w:hint="default"/>
      </w:rPr>
    </w:lvl>
    <w:lvl w:ilvl="4" w:tplc="F044F64C" w:tentative="1">
      <w:start w:val="1"/>
      <w:numFmt w:val="bullet"/>
      <w:lvlText w:val="•"/>
      <w:lvlJc w:val="left"/>
      <w:pPr>
        <w:tabs>
          <w:tab w:val="num" w:pos="3600"/>
        </w:tabs>
        <w:ind w:left="3600" w:hanging="360"/>
      </w:pPr>
      <w:rPr>
        <w:rFonts w:ascii="Arial" w:hAnsi="Arial" w:hint="default"/>
      </w:rPr>
    </w:lvl>
    <w:lvl w:ilvl="5" w:tplc="59CA0586" w:tentative="1">
      <w:start w:val="1"/>
      <w:numFmt w:val="bullet"/>
      <w:lvlText w:val="•"/>
      <w:lvlJc w:val="left"/>
      <w:pPr>
        <w:tabs>
          <w:tab w:val="num" w:pos="4320"/>
        </w:tabs>
        <w:ind w:left="4320" w:hanging="360"/>
      </w:pPr>
      <w:rPr>
        <w:rFonts w:ascii="Arial" w:hAnsi="Arial" w:hint="default"/>
      </w:rPr>
    </w:lvl>
    <w:lvl w:ilvl="6" w:tplc="30DCDFB8" w:tentative="1">
      <w:start w:val="1"/>
      <w:numFmt w:val="bullet"/>
      <w:lvlText w:val="•"/>
      <w:lvlJc w:val="left"/>
      <w:pPr>
        <w:tabs>
          <w:tab w:val="num" w:pos="5040"/>
        </w:tabs>
        <w:ind w:left="5040" w:hanging="360"/>
      </w:pPr>
      <w:rPr>
        <w:rFonts w:ascii="Arial" w:hAnsi="Arial" w:hint="default"/>
      </w:rPr>
    </w:lvl>
    <w:lvl w:ilvl="7" w:tplc="40E85B24" w:tentative="1">
      <w:start w:val="1"/>
      <w:numFmt w:val="bullet"/>
      <w:lvlText w:val="•"/>
      <w:lvlJc w:val="left"/>
      <w:pPr>
        <w:tabs>
          <w:tab w:val="num" w:pos="5760"/>
        </w:tabs>
        <w:ind w:left="5760" w:hanging="360"/>
      </w:pPr>
      <w:rPr>
        <w:rFonts w:ascii="Arial" w:hAnsi="Arial" w:hint="default"/>
      </w:rPr>
    </w:lvl>
    <w:lvl w:ilvl="8" w:tplc="D08E8C5A" w:tentative="1">
      <w:start w:val="1"/>
      <w:numFmt w:val="bullet"/>
      <w:lvlText w:val="•"/>
      <w:lvlJc w:val="left"/>
      <w:pPr>
        <w:tabs>
          <w:tab w:val="num" w:pos="6480"/>
        </w:tabs>
        <w:ind w:left="6480" w:hanging="360"/>
      </w:pPr>
      <w:rPr>
        <w:rFonts w:ascii="Arial" w:hAnsi="Arial" w:hint="default"/>
      </w:rPr>
    </w:lvl>
  </w:abstractNum>
  <w:abstractNum w:abstractNumId="5">
    <w:nsid w:val="54FC1521"/>
    <w:multiLevelType w:val="hybridMultilevel"/>
    <w:tmpl w:val="87E6F43A"/>
    <w:lvl w:ilvl="0" w:tplc="1E1465B0">
      <w:start w:val="1"/>
      <w:numFmt w:val="bullet"/>
      <w:lvlText w:val="•"/>
      <w:lvlJc w:val="left"/>
      <w:pPr>
        <w:tabs>
          <w:tab w:val="num" w:pos="720"/>
        </w:tabs>
        <w:ind w:left="720" w:hanging="360"/>
      </w:pPr>
      <w:rPr>
        <w:rFonts w:ascii="Arial" w:hAnsi="Arial" w:hint="default"/>
      </w:rPr>
    </w:lvl>
    <w:lvl w:ilvl="1" w:tplc="865A9DCA">
      <w:start w:val="1"/>
      <w:numFmt w:val="bullet"/>
      <w:lvlText w:val="•"/>
      <w:lvlJc w:val="left"/>
      <w:pPr>
        <w:tabs>
          <w:tab w:val="num" w:pos="1440"/>
        </w:tabs>
        <w:ind w:left="1440" w:hanging="360"/>
      </w:pPr>
      <w:rPr>
        <w:rFonts w:ascii="Arial" w:hAnsi="Arial" w:hint="default"/>
      </w:rPr>
    </w:lvl>
    <w:lvl w:ilvl="2" w:tplc="EFDC558E" w:tentative="1">
      <w:start w:val="1"/>
      <w:numFmt w:val="bullet"/>
      <w:lvlText w:val="•"/>
      <w:lvlJc w:val="left"/>
      <w:pPr>
        <w:tabs>
          <w:tab w:val="num" w:pos="2160"/>
        </w:tabs>
        <w:ind w:left="2160" w:hanging="360"/>
      </w:pPr>
      <w:rPr>
        <w:rFonts w:ascii="Arial" w:hAnsi="Arial" w:hint="default"/>
      </w:rPr>
    </w:lvl>
    <w:lvl w:ilvl="3" w:tplc="ABE86E48" w:tentative="1">
      <w:start w:val="1"/>
      <w:numFmt w:val="bullet"/>
      <w:lvlText w:val="•"/>
      <w:lvlJc w:val="left"/>
      <w:pPr>
        <w:tabs>
          <w:tab w:val="num" w:pos="2880"/>
        </w:tabs>
        <w:ind w:left="2880" w:hanging="360"/>
      </w:pPr>
      <w:rPr>
        <w:rFonts w:ascii="Arial" w:hAnsi="Arial" w:hint="default"/>
      </w:rPr>
    </w:lvl>
    <w:lvl w:ilvl="4" w:tplc="404E8108" w:tentative="1">
      <w:start w:val="1"/>
      <w:numFmt w:val="bullet"/>
      <w:lvlText w:val="•"/>
      <w:lvlJc w:val="left"/>
      <w:pPr>
        <w:tabs>
          <w:tab w:val="num" w:pos="3600"/>
        </w:tabs>
        <w:ind w:left="3600" w:hanging="360"/>
      </w:pPr>
      <w:rPr>
        <w:rFonts w:ascii="Arial" w:hAnsi="Arial" w:hint="default"/>
      </w:rPr>
    </w:lvl>
    <w:lvl w:ilvl="5" w:tplc="ACE678CA" w:tentative="1">
      <w:start w:val="1"/>
      <w:numFmt w:val="bullet"/>
      <w:lvlText w:val="•"/>
      <w:lvlJc w:val="left"/>
      <w:pPr>
        <w:tabs>
          <w:tab w:val="num" w:pos="4320"/>
        </w:tabs>
        <w:ind w:left="4320" w:hanging="360"/>
      </w:pPr>
      <w:rPr>
        <w:rFonts w:ascii="Arial" w:hAnsi="Arial" w:hint="default"/>
      </w:rPr>
    </w:lvl>
    <w:lvl w:ilvl="6" w:tplc="5E3C7C66" w:tentative="1">
      <w:start w:val="1"/>
      <w:numFmt w:val="bullet"/>
      <w:lvlText w:val="•"/>
      <w:lvlJc w:val="left"/>
      <w:pPr>
        <w:tabs>
          <w:tab w:val="num" w:pos="5040"/>
        </w:tabs>
        <w:ind w:left="5040" w:hanging="360"/>
      </w:pPr>
      <w:rPr>
        <w:rFonts w:ascii="Arial" w:hAnsi="Arial" w:hint="default"/>
      </w:rPr>
    </w:lvl>
    <w:lvl w:ilvl="7" w:tplc="C5BA00CE" w:tentative="1">
      <w:start w:val="1"/>
      <w:numFmt w:val="bullet"/>
      <w:lvlText w:val="•"/>
      <w:lvlJc w:val="left"/>
      <w:pPr>
        <w:tabs>
          <w:tab w:val="num" w:pos="5760"/>
        </w:tabs>
        <w:ind w:left="5760" w:hanging="360"/>
      </w:pPr>
      <w:rPr>
        <w:rFonts w:ascii="Arial" w:hAnsi="Arial" w:hint="default"/>
      </w:rPr>
    </w:lvl>
    <w:lvl w:ilvl="8" w:tplc="522E3588" w:tentative="1">
      <w:start w:val="1"/>
      <w:numFmt w:val="bullet"/>
      <w:lvlText w:val="•"/>
      <w:lvlJc w:val="left"/>
      <w:pPr>
        <w:tabs>
          <w:tab w:val="num" w:pos="6480"/>
        </w:tabs>
        <w:ind w:left="6480" w:hanging="360"/>
      </w:pPr>
      <w:rPr>
        <w:rFonts w:ascii="Arial" w:hAnsi="Arial" w:hint="default"/>
      </w:rPr>
    </w:lvl>
  </w:abstractNum>
  <w:abstractNum w:abstractNumId="6">
    <w:nsid w:val="680C5DE4"/>
    <w:multiLevelType w:val="hybridMultilevel"/>
    <w:tmpl w:val="5C2A1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EFB2BEB"/>
    <w:multiLevelType w:val="hybridMultilevel"/>
    <w:tmpl w:val="104EEC2C"/>
    <w:lvl w:ilvl="0" w:tplc="F0AC7BEE">
      <w:start w:val="1"/>
      <w:numFmt w:val="bullet"/>
      <w:lvlText w:val="•"/>
      <w:lvlJc w:val="left"/>
      <w:pPr>
        <w:tabs>
          <w:tab w:val="num" w:pos="720"/>
        </w:tabs>
        <w:ind w:left="720" w:hanging="360"/>
      </w:pPr>
      <w:rPr>
        <w:rFonts w:ascii="Arial" w:hAnsi="Arial" w:hint="default"/>
      </w:rPr>
    </w:lvl>
    <w:lvl w:ilvl="1" w:tplc="DEDC3D30">
      <w:start w:val="1"/>
      <w:numFmt w:val="bullet"/>
      <w:lvlText w:val="•"/>
      <w:lvlJc w:val="left"/>
      <w:pPr>
        <w:tabs>
          <w:tab w:val="num" w:pos="1440"/>
        </w:tabs>
        <w:ind w:left="1440" w:hanging="360"/>
      </w:pPr>
      <w:rPr>
        <w:rFonts w:ascii="Arial" w:hAnsi="Arial" w:hint="default"/>
      </w:rPr>
    </w:lvl>
    <w:lvl w:ilvl="2" w:tplc="C1FC9D18" w:tentative="1">
      <w:start w:val="1"/>
      <w:numFmt w:val="bullet"/>
      <w:lvlText w:val="•"/>
      <w:lvlJc w:val="left"/>
      <w:pPr>
        <w:tabs>
          <w:tab w:val="num" w:pos="2160"/>
        </w:tabs>
        <w:ind w:left="2160" w:hanging="360"/>
      </w:pPr>
      <w:rPr>
        <w:rFonts w:ascii="Arial" w:hAnsi="Arial" w:hint="default"/>
      </w:rPr>
    </w:lvl>
    <w:lvl w:ilvl="3" w:tplc="12709D2E" w:tentative="1">
      <w:start w:val="1"/>
      <w:numFmt w:val="bullet"/>
      <w:lvlText w:val="•"/>
      <w:lvlJc w:val="left"/>
      <w:pPr>
        <w:tabs>
          <w:tab w:val="num" w:pos="2880"/>
        </w:tabs>
        <w:ind w:left="2880" w:hanging="360"/>
      </w:pPr>
      <w:rPr>
        <w:rFonts w:ascii="Arial" w:hAnsi="Arial" w:hint="default"/>
      </w:rPr>
    </w:lvl>
    <w:lvl w:ilvl="4" w:tplc="5E36B31C" w:tentative="1">
      <w:start w:val="1"/>
      <w:numFmt w:val="bullet"/>
      <w:lvlText w:val="•"/>
      <w:lvlJc w:val="left"/>
      <w:pPr>
        <w:tabs>
          <w:tab w:val="num" w:pos="3600"/>
        </w:tabs>
        <w:ind w:left="3600" w:hanging="360"/>
      </w:pPr>
      <w:rPr>
        <w:rFonts w:ascii="Arial" w:hAnsi="Arial" w:hint="default"/>
      </w:rPr>
    </w:lvl>
    <w:lvl w:ilvl="5" w:tplc="B226058C" w:tentative="1">
      <w:start w:val="1"/>
      <w:numFmt w:val="bullet"/>
      <w:lvlText w:val="•"/>
      <w:lvlJc w:val="left"/>
      <w:pPr>
        <w:tabs>
          <w:tab w:val="num" w:pos="4320"/>
        </w:tabs>
        <w:ind w:left="4320" w:hanging="360"/>
      </w:pPr>
      <w:rPr>
        <w:rFonts w:ascii="Arial" w:hAnsi="Arial" w:hint="default"/>
      </w:rPr>
    </w:lvl>
    <w:lvl w:ilvl="6" w:tplc="3AD8F53C" w:tentative="1">
      <w:start w:val="1"/>
      <w:numFmt w:val="bullet"/>
      <w:lvlText w:val="•"/>
      <w:lvlJc w:val="left"/>
      <w:pPr>
        <w:tabs>
          <w:tab w:val="num" w:pos="5040"/>
        </w:tabs>
        <w:ind w:left="5040" w:hanging="360"/>
      </w:pPr>
      <w:rPr>
        <w:rFonts w:ascii="Arial" w:hAnsi="Arial" w:hint="default"/>
      </w:rPr>
    </w:lvl>
    <w:lvl w:ilvl="7" w:tplc="C4741CE8" w:tentative="1">
      <w:start w:val="1"/>
      <w:numFmt w:val="bullet"/>
      <w:lvlText w:val="•"/>
      <w:lvlJc w:val="left"/>
      <w:pPr>
        <w:tabs>
          <w:tab w:val="num" w:pos="5760"/>
        </w:tabs>
        <w:ind w:left="5760" w:hanging="360"/>
      </w:pPr>
      <w:rPr>
        <w:rFonts w:ascii="Arial" w:hAnsi="Arial" w:hint="default"/>
      </w:rPr>
    </w:lvl>
    <w:lvl w:ilvl="8" w:tplc="73D04CA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6"/>
  </w:num>
  <w:num w:numId="4">
    <w:abstractNumId w:val="4"/>
  </w:num>
  <w:num w:numId="5">
    <w:abstractNumId w:val="7"/>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0"/>
    <w:footnote w:id="1"/>
  </w:footnotePr>
  <w:endnotePr>
    <w:endnote w:id="0"/>
    <w:endnote w:id="1"/>
  </w:endnotePr>
  <w:compat/>
  <w:rsids>
    <w:rsidRoot w:val="00973361"/>
    <w:rsid w:val="00004A3D"/>
    <w:rsid w:val="00004F8D"/>
    <w:rsid w:val="000119C8"/>
    <w:rsid w:val="00011B1A"/>
    <w:rsid w:val="00013095"/>
    <w:rsid w:val="0001720C"/>
    <w:rsid w:val="00020480"/>
    <w:rsid w:val="00046B80"/>
    <w:rsid w:val="00056E82"/>
    <w:rsid w:val="00060D39"/>
    <w:rsid w:val="000662FF"/>
    <w:rsid w:val="00070E00"/>
    <w:rsid w:val="00082B36"/>
    <w:rsid w:val="0009563F"/>
    <w:rsid w:val="0009664E"/>
    <w:rsid w:val="000A38C1"/>
    <w:rsid w:val="000A7F9B"/>
    <w:rsid w:val="000B13F6"/>
    <w:rsid w:val="000B4638"/>
    <w:rsid w:val="000C17D6"/>
    <w:rsid w:val="000D0616"/>
    <w:rsid w:val="000D5F0D"/>
    <w:rsid w:val="000E09C1"/>
    <w:rsid w:val="000F014F"/>
    <w:rsid w:val="000F0A18"/>
    <w:rsid w:val="000F1E8A"/>
    <w:rsid w:val="000F5134"/>
    <w:rsid w:val="001012B1"/>
    <w:rsid w:val="00115BC0"/>
    <w:rsid w:val="00134F2E"/>
    <w:rsid w:val="001531F7"/>
    <w:rsid w:val="00163A38"/>
    <w:rsid w:val="00165659"/>
    <w:rsid w:val="00176AC3"/>
    <w:rsid w:val="001771B1"/>
    <w:rsid w:val="00181973"/>
    <w:rsid w:val="0019345B"/>
    <w:rsid w:val="00196D9C"/>
    <w:rsid w:val="001A1FA8"/>
    <w:rsid w:val="001A3E85"/>
    <w:rsid w:val="001C1C62"/>
    <w:rsid w:val="001C794A"/>
    <w:rsid w:val="001E49AC"/>
    <w:rsid w:val="001E7889"/>
    <w:rsid w:val="001E7E41"/>
    <w:rsid w:val="001F106D"/>
    <w:rsid w:val="001F38E5"/>
    <w:rsid w:val="00207561"/>
    <w:rsid w:val="00215FEE"/>
    <w:rsid w:val="0021679A"/>
    <w:rsid w:val="00220565"/>
    <w:rsid w:val="002247E3"/>
    <w:rsid w:val="002402A3"/>
    <w:rsid w:val="00241EDB"/>
    <w:rsid w:val="00242BBC"/>
    <w:rsid w:val="0024305C"/>
    <w:rsid w:val="00265C86"/>
    <w:rsid w:val="00267778"/>
    <w:rsid w:val="00286037"/>
    <w:rsid w:val="00287085"/>
    <w:rsid w:val="002929BC"/>
    <w:rsid w:val="002A1303"/>
    <w:rsid w:val="002A6268"/>
    <w:rsid w:val="002A6EB0"/>
    <w:rsid w:val="002B4EDF"/>
    <w:rsid w:val="002B633B"/>
    <w:rsid w:val="002C4F72"/>
    <w:rsid w:val="002D3852"/>
    <w:rsid w:val="002D6361"/>
    <w:rsid w:val="002E2099"/>
    <w:rsid w:val="002E6972"/>
    <w:rsid w:val="003120D6"/>
    <w:rsid w:val="00314F26"/>
    <w:rsid w:val="003412F7"/>
    <w:rsid w:val="00344749"/>
    <w:rsid w:val="00350EBF"/>
    <w:rsid w:val="00351129"/>
    <w:rsid w:val="00361CF8"/>
    <w:rsid w:val="00363FBE"/>
    <w:rsid w:val="0036504A"/>
    <w:rsid w:val="00365E56"/>
    <w:rsid w:val="00367079"/>
    <w:rsid w:val="003722A4"/>
    <w:rsid w:val="00382F32"/>
    <w:rsid w:val="0038307C"/>
    <w:rsid w:val="003937F9"/>
    <w:rsid w:val="0039645E"/>
    <w:rsid w:val="003A30CD"/>
    <w:rsid w:val="003B0B5F"/>
    <w:rsid w:val="003B1AC0"/>
    <w:rsid w:val="003B4FA1"/>
    <w:rsid w:val="003B569A"/>
    <w:rsid w:val="003B7718"/>
    <w:rsid w:val="003C1024"/>
    <w:rsid w:val="003C18BA"/>
    <w:rsid w:val="003C4BD1"/>
    <w:rsid w:val="003C75BC"/>
    <w:rsid w:val="003D4245"/>
    <w:rsid w:val="003E3A21"/>
    <w:rsid w:val="003E49F3"/>
    <w:rsid w:val="003F7FF4"/>
    <w:rsid w:val="0040350E"/>
    <w:rsid w:val="00406BBD"/>
    <w:rsid w:val="004420B8"/>
    <w:rsid w:val="00453757"/>
    <w:rsid w:val="00455F59"/>
    <w:rsid w:val="00461EBF"/>
    <w:rsid w:val="00462AB6"/>
    <w:rsid w:val="00462F11"/>
    <w:rsid w:val="00466F42"/>
    <w:rsid w:val="00472FAB"/>
    <w:rsid w:val="00474049"/>
    <w:rsid w:val="00480883"/>
    <w:rsid w:val="004839BD"/>
    <w:rsid w:val="00483C94"/>
    <w:rsid w:val="0048430A"/>
    <w:rsid w:val="00490997"/>
    <w:rsid w:val="0049121F"/>
    <w:rsid w:val="0049382E"/>
    <w:rsid w:val="004A1113"/>
    <w:rsid w:val="004A731E"/>
    <w:rsid w:val="004B4044"/>
    <w:rsid w:val="004C09E3"/>
    <w:rsid w:val="004C6A70"/>
    <w:rsid w:val="004C6F20"/>
    <w:rsid w:val="004F19DA"/>
    <w:rsid w:val="004F1F82"/>
    <w:rsid w:val="004F2280"/>
    <w:rsid w:val="004F4F24"/>
    <w:rsid w:val="00500BB3"/>
    <w:rsid w:val="00506F00"/>
    <w:rsid w:val="00512E61"/>
    <w:rsid w:val="00517041"/>
    <w:rsid w:val="005250DF"/>
    <w:rsid w:val="0052724C"/>
    <w:rsid w:val="00527EBE"/>
    <w:rsid w:val="005339FB"/>
    <w:rsid w:val="00543087"/>
    <w:rsid w:val="00546253"/>
    <w:rsid w:val="00555562"/>
    <w:rsid w:val="00561C62"/>
    <w:rsid w:val="00576DE8"/>
    <w:rsid w:val="00576F08"/>
    <w:rsid w:val="00593B4A"/>
    <w:rsid w:val="005A1060"/>
    <w:rsid w:val="005A2105"/>
    <w:rsid w:val="005B1942"/>
    <w:rsid w:val="005D1B3E"/>
    <w:rsid w:val="005D6631"/>
    <w:rsid w:val="005D682B"/>
    <w:rsid w:val="005E0091"/>
    <w:rsid w:val="005E6994"/>
    <w:rsid w:val="005F2F84"/>
    <w:rsid w:val="005F7CDF"/>
    <w:rsid w:val="00601A37"/>
    <w:rsid w:val="00602771"/>
    <w:rsid w:val="00603556"/>
    <w:rsid w:val="00607797"/>
    <w:rsid w:val="00614966"/>
    <w:rsid w:val="00616E98"/>
    <w:rsid w:val="006223B3"/>
    <w:rsid w:val="00625A10"/>
    <w:rsid w:val="006308D9"/>
    <w:rsid w:val="00632A54"/>
    <w:rsid w:val="00634149"/>
    <w:rsid w:val="0063595E"/>
    <w:rsid w:val="00637325"/>
    <w:rsid w:val="00640830"/>
    <w:rsid w:val="0064450B"/>
    <w:rsid w:val="00651B2C"/>
    <w:rsid w:val="006605FC"/>
    <w:rsid w:val="00670586"/>
    <w:rsid w:val="0067240F"/>
    <w:rsid w:val="0067268B"/>
    <w:rsid w:val="00676062"/>
    <w:rsid w:val="006769A3"/>
    <w:rsid w:val="0068257A"/>
    <w:rsid w:val="00684413"/>
    <w:rsid w:val="006853E5"/>
    <w:rsid w:val="00686EC5"/>
    <w:rsid w:val="0069148E"/>
    <w:rsid w:val="00695BE9"/>
    <w:rsid w:val="00695C2D"/>
    <w:rsid w:val="006A1F64"/>
    <w:rsid w:val="006A3C8F"/>
    <w:rsid w:val="006B138E"/>
    <w:rsid w:val="006C48B0"/>
    <w:rsid w:val="006C6B86"/>
    <w:rsid w:val="006D3BF0"/>
    <w:rsid w:val="006D6B8C"/>
    <w:rsid w:val="006E225C"/>
    <w:rsid w:val="006E2B1B"/>
    <w:rsid w:val="006E7FE8"/>
    <w:rsid w:val="006F5806"/>
    <w:rsid w:val="00704EEA"/>
    <w:rsid w:val="007050EB"/>
    <w:rsid w:val="00705356"/>
    <w:rsid w:val="00712EB8"/>
    <w:rsid w:val="00715E48"/>
    <w:rsid w:val="00717520"/>
    <w:rsid w:val="007222BB"/>
    <w:rsid w:val="00722335"/>
    <w:rsid w:val="007276A8"/>
    <w:rsid w:val="0073237D"/>
    <w:rsid w:val="00744C4F"/>
    <w:rsid w:val="007472BE"/>
    <w:rsid w:val="007514C4"/>
    <w:rsid w:val="00755200"/>
    <w:rsid w:val="00770BAA"/>
    <w:rsid w:val="00770C31"/>
    <w:rsid w:val="007721D1"/>
    <w:rsid w:val="007749C2"/>
    <w:rsid w:val="00775574"/>
    <w:rsid w:val="00775949"/>
    <w:rsid w:val="007762DD"/>
    <w:rsid w:val="0078059C"/>
    <w:rsid w:val="00782199"/>
    <w:rsid w:val="00784005"/>
    <w:rsid w:val="00785B38"/>
    <w:rsid w:val="00792217"/>
    <w:rsid w:val="007A0817"/>
    <w:rsid w:val="007B1FE4"/>
    <w:rsid w:val="007B36B3"/>
    <w:rsid w:val="007C1481"/>
    <w:rsid w:val="007D057B"/>
    <w:rsid w:val="007D15F3"/>
    <w:rsid w:val="007D4359"/>
    <w:rsid w:val="007E3B2A"/>
    <w:rsid w:val="007E55EE"/>
    <w:rsid w:val="007F03C2"/>
    <w:rsid w:val="007F1EDD"/>
    <w:rsid w:val="007F7CFB"/>
    <w:rsid w:val="0080155D"/>
    <w:rsid w:val="0081035A"/>
    <w:rsid w:val="0081126E"/>
    <w:rsid w:val="00820D56"/>
    <w:rsid w:val="00823AF7"/>
    <w:rsid w:val="00823BA2"/>
    <w:rsid w:val="00826155"/>
    <w:rsid w:val="00830564"/>
    <w:rsid w:val="00830711"/>
    <w:rsid w:val="008313DD"/>
    <w:rsid w:val="00843988"/>
    <w:rsid w:val="00843D89"/>
    <w:rsid w:val="00846C7B"/>
    <w:rsid w:val="0085013B"/>
    <w:rsid w:val="00855F7B"/>
    <w:rsid w:val="00857729"/>
    <w:rsid w:val="00860A16"/>
    <w:rsid w:val="00860D56"/>
    <w:rsid w:val="0086785A"/>
    <w:rsid w:val="00874D5C"/>
    <w:rsid w:val="00876A51"/>
    <w:rsid w:val="008842BC"/>
    <w:rsid w:val="008866AB"/>
    <w:rsid w:val="008A0D66"/>
    <w:rsid w:val="008A15BB"/>
    <w:rsid w:val="008A4D57"/>
    <w:rsid w:val="008A60EE"/>
    <w:rsid w:val="008B5400"/>
    <w:rsid w:val="008C2C16"/>
    <w:rsid w:val="008C6A6A"/>
    <w:rsid w:val="008C6AB9"/>
    <w:rsid w:val="008D79BE"/>
    <w:rsid w:val="008E0513"/>
    <w:rsid w:val="008F63E6"/>
    <w:rsid w:val="00915CDD"/>
    <w:rsid w:val="00924045"/>
    <w:rsid w:val="009266B8"/>
    <w:rsid w:val="00927834"/>
    <w:rsid w:val="00930A71"/>
    <w:rsid w:val="009500B5"/>
    <w:rsid w:val="00950623"/>
    <w:rsid w:val="009567DB"/>
    <w:rsid w:val="009718D0"/>
    <w:rsid w:val="00973361"/>
    <w:rsid w:val="0097774C"/>
    <w:rsid w:val="00986D43"/>
    <w:rsid w:val="009964FE"/>
    <w:rsid w:val="009B17DA"/>
    <w:rsid w:val="009C14EE"/>
    <w:rsid w:val="009D5B3E"/>
    <w:rsid w:val="009D65A7"/>
    <w:rsid w:val="009E2171"/>
    <w:rsid w:val="009E7768"/>
    <w:rsid w:val="00A06BF3"/>
    <w:rsid w:val="00A11E73"/>
    <w:rsid w:val="00A13522"/>
    <w:rsid w:val="00A13BB9"/>
    <w:rsid w:val="00A22EFB"/>
    <w:rsid w:val="00A240D4"/>
    <w:rsid w:val="00A301A8"/>
    <w:rsid w:val="00A31D1A"/>
    <w:rsid w:val="00A440A0"/>
    <w:rsid w:val="00A449F8"/>
    <w:rsid w:val="00A462F6"/>
    <w:rsid w:val="00A532D0"/>
    <w:rsid w:val="00A561CD"/>
    <w:rsid w:val="00A5657C"/>
    <w:rsid w:val="00A57D7E"/>
    <w:rsid w:val="00A637D4"/>
    <w:rsid w:val="00A67476"/>
    <w:rsid w:val="00A67556"/>
    <w:rsid w:val="00A77229"/>
    <w:rsid w:val="00A7725C"/>
    <w:rsid w:val="00A86817"/>
    <w:rsid w:val="00AA153C"/>
    <w:rsid w:val="00AB1394"/>
    <w:rsid w:val="00AD2212"/>
    <w:rsid w:val="00AD2E89"/>
    <w:rsid w:val="00AE27BC"/>
    <w:rsid w:val="00AE38F0"/>
    <w:rsid w:val="00AF283B"/>
    <w:rsid w:val="00AF34F1"/>
    <w:rsid w:val="00AF6E8E"/>
    <w:rsid w:val="00B01B19"/>
    <w:rsid w:val="00B042EC"/>
    <w:rsid w:val="00B21E04"/>
    <w:rsid w:val="00B21F37"/>
    <w:rsid w:val="00B27081"/>
    <w:rsid w:val="00B31642"/>
    <w:rsid w:val="00B34B80"/>
    <w:rsid w:val="00B43BD1"/>
    <w:rsid w:val="00B56542"/>
    <w:rsid w:val="00B56F5B"/>
    <w:rsid w:val="00B61536"/>
    <w:rsid w:val="00B64591"/>
    <w:rsid w:val="00B64AF5"/>
    <w:rsid w:val="00B755CB"/>
    <w:rsid w:val="00B95C02"/>
    <w:rsid w:val="00BA35E4"/>
    <w:rsid w:val="00BA37D8"/>
    <w:rsid w:val="00BA6BD8"/>
    <w:rsid w:val="00BA6D1D"/>
    <w:rsid w:val="00BB0209"/>
    <w:rsid w:val="00BB145A"/>
    <w:rsid w:val="00BB40A7"/>
    <w:rsid w:val="00BC4ECC"/>
    <w:rsid w:val="00BD40C2"/>
    <w:rsid w:val="00BD6478"/>
    <w:rsid w:val="00BF4549"/>
    <w:rsid w:val="00C016DC"/>
    <w:rsid w:val="00C0232D"/>
    <w:rsid w:val="00C04C2E"/>
    <w:rsid w:val="00C06E6E"/>
    <w:rsid w:val="00C10943"/>
    <w:rsid w:val="00C11EF5"/>
    <w:rsid w:val="00C12012"/>
    <w:rsid w:val="00C15786"/>
    <w:rsid w:val="00C330C1"/>
    <w:rsid w:val="00C337C1"/>
    <w:rsid w:val="00C35AF8"/>
    <w:rsid w:val="00C367E4"/>
    <w:rsid w:val="00C4284B"/>
    <w:rsid w:val="00C4364A"/>
    <w:rsid w:val="00C52BFB"/>
    <w:rsid w:val="00C54325"/>
    <w:rsid w:val="00C5786A"/>
    <w:rsid w:val="00C57AEB"/>
    <w:rsid w:val="00C60EF5"/>
    <w:rsid w:val="00C7008C"/>
    <w:rsid w:val="00C722BD"/>
    <w:rsid w:val="00C730F7"/>
    <w:rsid w:val="00C82DD4"/>
    <w:rsid w:val="00C904CF"/>
    <w:rsid w:val="00C90E29"/>
    <w:rsid w:val="00C91A5C"/>
    <w:rsid w:val="00C92C77"/>
    <w:rsid w:val="00C93514"/>
    <w:rsid w:val="00C9679E"/>
    <w:rsid w:val="00CA26CD"/>
    <w:rsid w:val="00CA37EB"/>
    <w:rsid w:val="00CD0962"/>
    <w:rsid w:val="00CD2011"/>
    <w:rsid w:val="00CD7950"/>
    <w:rsid w:val="00CE0799"/>
    <w:rsid w:val="00CE1472"/>
    <w:rsid w:val="00CF2753"/>
    <w:rsid w:val="00D01D1C"/>
    <w:rsid w:val="00D0209D"/>
    <w:rsid w:val="00D04293"/>
    <w:rsid w:val="00D05EFD"/>
    <w:rsid w:val="00D07740"/>
    <w:rsid w:val="00D07D38"/>
    <w:rsid w:val="00D21FC5"/>
    <w:rsid w:val="00D23072"/>
    <w:rsid w:val="00D257F1"/>
    <w:rsid w:val="00D25E79"/>
    <w:rsid w:val="00D26AB9"/>
    <w:rsid w:val="00D27553"/>
    <w:rsid w:val="00D27A7F"/>
    <w:rsid w:val="00D3037F"/>
    <w:rsid w:val="00D30DA7"/>
    <w:rsid w:val="00D3250B"/>
    <w:rsid w:val="00D34F78"/>
    <w:rsid w:val="00D374D9"/>
    <w:rsid w:val="00D479BD"/>
    <w:rsid w:val="00D572EB"/>
    <w:rsid w:val="00D77565"/>
    <w:rsid w:val="00D8041D"/>
    <w:rsid w:val="00D81D98"/>
    <w:rsid w:val="00D82122"/>
    <w:rsid w:val="00D93CF7"/>
    <w:rsid w:val="00DA229E"/>
    <w:rsid w:val="00DA3130"/>
    <w:rsid w:val="00DA4820"/>
    <w:rsid w:val="00DA7F11"/>
    <w:rsid w:val="00DC1094"/>
    <w:rsid w:val="00DC7F4D"/>
    <w:rsid w:val="00DD6FFF"/>
    <w:rsid w:val="00DE0B58"/>
    <w:rsid w:val="00DE2509"/>
    <w:rsid w:val="00DE4324"/>
    <w:rsid w:val="00DE5F24"/>
    <w:rsid w:val="00E046A1"/>
    <w:rsid w:val="00E06461"/>
    <w:rsid w:val="00E079B5"/>
    <w:rsid w:val="00E22B59"/>
    <w:rsid w:val="00E4088B"/>
    <w:rsid w:val="00E56FD5"/>
    <w:rsid w:val="00E73C2D"/>
    <w:rsid w:val="00E75E3B"/>
    <w:rsid w:val="00E760D8"/>
    <w:rsid w:val="00E844E2"/>
    <w:rsid w:val="00E84B86"/>
    <w:rsid w:val="00E87AE6"/>
    <w:rsid w:val="00E87D25"/>
    <w:rsid w:val="00E92F55"/>
    <w:rsid w:val="00E95AFF"/>
    <w:rsid w:val="00E95DF8"/>
    <w:rsid w:val="00EA04F1"/>
    <w:rsid w:val="00EB104B"/>
    <w:rsid w:val="00EB7852"/>
    <w:rsid w:val="00EC1EE4"/>
    <w:rsid w:val="00EC654F"/>
    <w:rsid w:val="00ED401B"/>
    <w:rsid w:val="00EF751A"/>
    <w:rsid w:val="00F01252"/>
    <w:rsid w:val="00F01F02"/>
    <w:rsid w:val="00F057DD"/>
    <w:rsid w:val="00F07162"/>
    <w:rsid w:val="00F07AD8"/>
    <w:rsid w:val="00F07F5B"/>
    <w:rsid w:val="00F105EA"/>
    <w:rsid w:val="00F17742"/>
    <w:rsid w:val="00F26F45"/>
    <w:rsid w:val="00F34E40"/>
    <w:rsid w:val="00F66C7F"/>
    <w:rsid w:val="00F75CB4"/>
    <w:rsid w:val="00F9249B"/>
    <w:rsid w:val="00FA0BA7"/>
    <w:rsid w:val="00FB229A"/>
    <w:rsid w:val="00FC2507"/>
    <w:rsid w:val="00FC7442"/>
    <w:rsid w:val="00FD1FD4"/>
    <w:rsid w:val="00FD68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3BB9"/>
    <w:rPr>
      <w:rFonts w:ascii="Arial" w:hAnsi="Arial"/>
      <w:sz w:val="22"/>
    </w:rPr>
  </w:style>
  <w:style w:type="paragraph" w:styleId="Titolo1">
    <w:name w:val="heading 1"/>
    <w:basedOn w:val="Normale"/>
    <w:next w:val="Normale"/>
    <w:qFormat/>
    <w:rsid w:val="00A13BB9"/>
    <w:pPr>
      <w:keepNext/>
      <w:outlineLvl w:val="0"/>
    </w:pPr>
    <w:rPr>
      <w:b/>
      <w:sz w:val="24"/>
    </w:rPr>
  </w:style>
  <w:style w:type="paragraph" w:styleId="Titolo2">
    <w:name w:val="heading 2"/>
    <w:basedOn w:val="Normale"/>
    <w:next w:val="Normale"/>
    <w:qFormat/>
    <w:rsid w:val="00A13BB9"/>
    <w:pPr>
      <w:keepNext/>
      <w:outlineLvl w:val="1"/>
    </w:pPr>
    <w:rPr>
      <w:b/>
      <w:sz w:val="18"/>
    </w:rPr>
  </w:style>
  <w:style w:type="paragraph" w:styleId="Titolo3">
    <w:name w:val="heading 3"/>
    <w:basedOn w:val="Normale"/>
    <w:next w:val="Normale"/>
    <w:qFormat/>
    <w:rsid w:val="00A13BB9"/>
    <w:pPr>
      <w:keepNext/>
      <w:tabs>
        <w:tab w:val="left" w:pos="-720"/>
      </w:tabs>
      <w:suppressAutoHyphens/>
      <w:spacing w:before="120"/>
      <w:jc w:val="both"/>
      <w:outlineLvl w:val="2"/>
    </w:pPr>
    <w:rPr>
      <w:spacing w:val="-3"/>
      <w:sz w:val="24"/>
    </w:rPr>
  </w:style>
  <w:style w:type="paragraph" w:styleId="Titolo4">
    <w:name w:val="heading 4"/>
    <w:basedOn w:val="Normale"/>
    <w:next w:val="Normale"/>
    <w:qFormat/>
    <w:rsid w:val="00A13BB9"/>
    <w:pPr>
      <w:keepNext/>
      <w:tabs>
        <w:tab w:val="center" w:pos="4513"/>
      </w:tabs>
      <w:suppressAutoHyphens/>
      <w:jc w:val="center"/>
      <w:outlineLvl w:val="3"/>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13BB9"/>
    <w:pPr>
      <w:tabs>
        <w:tab w:val="center" w:pos="4153"/>
        <w:tab w:val="right" w:pos="8306"/>
      </w:tabs>
    </w:pPr>
    <w:rPr>
      <w:sz w:val="18"/>
    </w:rPr>
  </w:style>
  <w:style w:type="paragraph" w:styleId="Pidipagina">
    <w:name w:val="footer"/>
    <w:basedOn w:val="Normale"/>
    <w:link w:val="PidipaginaCarattere"/>
    <w:uiPriority w:val="99"/>
    <w:rsid w:val="00A13BB9"/>
    <w:pPr>
      <w:tabs>
        <w:tab w:val="center" w:pos="4153"/>
        <w:tab w:val="right" w:pos="8306"/>
      </w:tabs>
    </w:pPr>
  </w:style>
  <w:style w:type="character" w:styleId="Numeropagina">
    <w:name w:val="page number"/>
    <w:basedOn w:val="Carpredefinitoparagrafo"/>
    <w:rsid w:val="00A13BB9"/>
  </w:style>
  <w:style w:type="character" w:styleId="Collegamentoipertestuale">
    <w:name w:val="Hyperlink"/>
    <w:basedOn w:val="Carpredefinitoparagrafo"/>
    <w:rsid w:val="00A13BB9"/>
    <w:rPr>
      <w:color w:val="0000FF"/>
      <w:u w:val="single"/>
    </w:rPr>
  </w:style>
  <w:style w:type="paragraph" w:styleId="Testofumetto">
    <w:name w:val="Balloon Text"/>
    <w:basedOn w:val="Normale"/>
    <w:link w:val="TestofumettoCarattere"/>
    <w:rsid w:val="009C14EE"/>
    <w:rPr>
      <w:rFonts w:ascii="Tahoma" w:hAnsi="Tahoma" w:cs="Tahoma"/>
      <w:sz w:val="16"/>
      <w:szCs w:val="16"/>
    </w:rPr>
  </w:style>
  <w:style w:type="character" w:customStyle="1" w:styleId="TestofumettoCarattere">
    <w:name w:val="Testo fumetto Carattere"/>
    <w:basedOn w:val="Carpredefinitoparagrafo"/>
    <w:link w:val="Testofumetto"/>
    <w:rsid w:val="009C14EE"/>
    <w:rPr>
      <w:rFonts w:ascii="Tahoma" w:hAnsi="Tahoma" w:cs="Tahoma"/>
      <w:sz w:val="16"/>
      <w:szCs w:val="16"/>
    </w:rPr>
  </w:style>
  <w:style w:type="character" w:customStyle="1" w:styleId="PidipaginaCarattere">
    <w:name w:val="Piè di pagina Carattere"/>
    <w:basedOn w:val="Carpredefinitoparagrafo"/>
    <w:link w:val="Pidipagina"/>
    <w:uiPriority w:val="99"/>
    <w:rsid w:val="000D5F0D"/>
    <w:rPr>
      <w:rFonts w:ascii="Arial" w:hAnsi="Arial"/>
      <w:sz w:val="22"/>
    </w:rPr>
  </w:style>
  <w:style w:type="paragraph" w:styleId="Paragrafoelenco">
    <w:name w:val="List Paragraph"/>
    <w:basedOn w:val="Normale"/>
    <w:uiPriority w:val="34"/>
    <w:qFormat/>
    <w:rsid w:val="00846C7B"/>
    <w:pPr>
      <w:ind w:left="720"/>
      <w:contextualSpacing/>
    </w:pPr>
  </w:style>
  <w:style w:type="paragraph" w:customStyle="1" w:styleId="Default">
    <w:name w:val="Default"/>
    <w:rsid w:val="0001720C"/>
    <w:pPr>
      <w:autoSpaceDE w:val="0"/>
      <w:autoSpaceDN w:val="0"/>
      <w:adjustRightInd w:val="0"/>
    </w:pPr>
    <w:rPr>
      <w:rFonts w:ascii="Calibri" w:eastAsia="Calibri" w:hAnsi="Calibri" w:cs="Calibri"/>
      <w:color w:val="000000"/>
      <w:sz w:val="24"/>
      <w:szCs w:val="24"/>
    </w:rPr>
  </w:style>
  <w:style w:type="character" w:styleId="Enfasicorsivo">
    <w:name w:val="Emphasis"/>
    <w:basedOn w:val="Carpredefinitoparagrafo"/>
    <w:qFormat/>
    <w:rsid w:val="000A7F9B"/>
    <w:rPr>
      <w:i/>
      <w:iCs/>
    </w:rPr>
  </w:style>
  <w:style w:type="character" w:customStyle="1" w:styleId="st1">
    <w:name w:val="st1"/>
    <w:basedOn w:val="Carpredefinitoparagrafo"/>
    <w:rsid w:val="00474049"/>
  </w:style>
  <w:style w:type="paragraph" w:customStyle="1" w:styleId="JDBodyText12ptBlack">
    <w:name w:val="JD_Body_Text_12pt_Black"/>
    <w:basedOn w:val="Normale"/>
    <w:link w:val="JDBodyText12ptBlackChar"/>
    <w:qFormat/>
    <w:rsid w:val="00823AF7"/>
    <w:pPr>
      <w:suppressAutoHyphens/>
      <w:spacing w:after="120" w:line="280" w:lineRule="exact"/>
    </w:pPr>
    <w:rPr>
      <w:rFonts w:ascii="Verdana" w:eastAsia="Cambria" w:hAnsi="Verdana"/>
      <w:color w:val="000000"/>
      <w:sz w:val="24"/>
      <w:szCs w:val="24"/>
    </w:rPr>
  </w:style>
  <w:style w:type="character" w:customStyle="1" w:styleId="JDBodyText12ptBlackChar">
    <w:name w:val="JD_Body_Text_12pt_Black Char"/>
    <w:basedOn w:val="Carpredefinitoparagrafo"/>
    <w:link w:val="JDBodyText12ptBlack"/>
    <w:rsid w:val="00823AF7"/>
    <w:rPr>
      <w:rFonts w:ascii="Verdana" w:eastAsia="Cambria" w:hAnsi="Verdana"/>
      <w:color w:val="000000"/>
      <w:sz w:val="24"/>
      <w:szCs w:val="24"/>
    </w:rPr>
  </w:style>
  <w:style w:type="character" w:styleId="Rimandocommento">
    <w:name w:val="annotation reference"/>
    <w:basedOn w:val="Carpredefinitoparagrafo"/>
    <w:semiHidden/>
    <w:unhideWhenUsed/>
    <w:rsid w:val="00CF2753"/>
    <w:rPr>
      <w:sz w:val="16"/>
      <w:szCs w:val="16"/>
    </w:rPr>
  </w:style>
  <w:style w:type="paragraph" w:styleId="Testocommento">
    <w:name w:val="annotation text"/>
    <w:basedOn w:val="Normale"/>
    <w:link w:val="TestocommentoCarattere"/>
    <w:semiHidden/>
    <w:unhideWhenUsed/>
    <w:rsid w:val="00CF2753"/>
    <w:rPr>
      <w:sz w:val="20"/>
    </w:rPr>
  </w:style>
  <w:style w:type="character" w:customStyle="1" w:styleId="TestocommentoCarattere">
    <w:name w:val="Testo commento Carattere"/>
    <w:basedOn w:val="Carpredefinitoparagrafo"/>
    <w:link w:val="Testocommento"/>
    <w:semiHidden/>
    <w:rsid w:val="00CF2753"/>
    <w:rPr>
      <w:rFonts w:ascii="Arial" w:hAnsi="Arial"/>
    </w:rPr>
  </w:style>
  <w:style w:type="paragraph" w:styleId="Soggettocommento">
    <w:name w:val="annotation subject"/>
    <w:basedOn w:val="Testocommento"/>
    <w:next w:val="Testocommento"/>
    <w:link w:val="SoggettocommentoCarattere"/>
    <w:semiHidden/>
    <w:unhideWhenUsed/>
    <w:rsid w:val="00CF2753"/>
    <w:rPr>
      <w:b/>
      <w:bCs/>
    </w:rPr>
  </w:style>
  <w:style w:type="character" w:customStyle="1" w:styleId="SoggettocommentoCarattere">
    <w:name w:val="Soggetto commento Carattere"/>
    <w:basedOn w:val="TestocommentoCarattere"/>
    <w:link w:val="Soggettocommento"/>
    <w:semiHidden/>
    <w:rsid w:val="00CF2753"/>
    <w:rPr>
      <w:rFonts w:ascii="Arial" w:hAnsi="Arial"/>
      <w:b/>
      <w:bCs/>
    </w:rPr>
  </w:style>
  <w:style w:type="paragraph" w:styleId="NormaleWeb">
    <w:name w:val="Normal (Web)"/>
    <w:basedOn w:val="Normale"/>
    <w:uiPriority w:val="99"/>
    <w:semiHidden/>
    <w:unhideWhenUsed/>
    <w:rsid w:val="00506F00"/>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4126002">
      <w:bodyDiv w:val="1"/>
      <w:marLeft w:val="0"/>
      <w:marRight w:val="0"/>
      <w:marTop w:val="0"/>
      <w:marBottom w:val="0"/>
      <w:divBdr>
        <w:top w:val="none" w:sz="0" w:space="0" w:color="auto"/>
        <w:left w:val="none" w:sz="0" w:space="0" w:color="auto"/>
        <w:bottom w:val="none" w:sz="0" w:space="0" w:color="auto"/>
        <w:right w:val="none" w:sz="0" w:space="0" w:color="auto"/>
      </w:divBdr>
      <w:divsChild>
        <w:div w:id="2032027500">
          <w:marLeft w:val="0"/>
          <w:marRight w:val="0"/>
          <w:marTop w:val="0"/>
          <w:marBottom w:val="0"/>
          <w:divBdr>
            <w:top w:val="none" w:sz="0" w:space="0" w:color="auto"/>
            <w:left w:val="none" w:sz="0" w:space="0" w:color="auto"/>
            <w:bottom w:val="none" w:sz="0" w:space="0" w:color="auto"/>
            <w:right w:val="none" w:sz="0" w:space="0" w:color="auto"/>
          </w:divBdr>
          <w:divsChild>
            <w:div w:id="1766684210">
              <w:marLeft w:val="0"/>
              <w:marRight w:val="0"/>
              <w:marTop w:val="0"/>
              <w:marBottom w:val="0"/>
              <w:divBdr>
                <w:top w:val="none" w:sz="0" w:space="0" w:color="auto"/>
                <w:left w:val="none" w:sz="0" w:space="0" w:color="auto"/>
                <w:bottom w:val="none" w:sz="0" w:space="0" w:color="auto"/>
                <w:right w:val="none" w:sz="0" w:space="0" w:color="auto"/>
              </w:divBdr>
              <w:divsChild>
                <w:div w:id="1908833625">
                  <w:marLeft w:val="0"/>
                  <w:marRight w:val="0"/>
                  <w:marTop w:val="0"/>
                  <w:marBottom w:val="0"/>
                  <w:divBdr>
                    <w:top w:val="none" w:sz="0" w:space="0" w:color="auto"/>
                    <w:left w:val="none" w:sz="0" w:space="0" w:color="auto"/>
                    <w:bottom w:val="none" w:sz="0" w:space="0" w:color="auto"/>
                    <w:right w:val="none" w:sz="0" w:space="0" w:color="auto"/>
                  </w:divBdr>
                  <w:divsChild>
                    <w:div w:id="1391925843">
                      <w:marLeft w:val="0"/>
                      <w:marRight w:val="0"/>
                      <w:marTop w:val="0"/>
                      <w:marBottom w:val="0"/>
                      <w:divBdr>
                        <w:top w:val="none" w:sz="0" w:space="0" w:color="auto"/>
                        <w:left w:val="none" w:sz="0" w:space="0" w:color="auto"/>
                        <w:bottom w:val="none" w:sz="0" w:space="0" w:color="auto"/>
                        <w:right w:val="none" w:sz="0" w:space="0" w:color="auto"/>
                      </w:divBdr>
                      <w:divsChild>
                        <w:div w:id="377828004">
                          <w:marLeft w:val="0"/>
                          <w:marRight w:val="0"/>
                          <w:marTop w:val="0"/>
                          <w:marBottom w:val="0"/>
                          <w:divBdr>
                            <w:top w:val="none" w:sz="0" w:space="0" w:color="auto"/>
                            <w:left w:val="none" w:sz="0" w:space="0" w:color="auto"/>
                            <w:bottom w:val="none" w:sz="0" w:space="0" w:color="auto"/>
                            <w:right w:val="none" w:sz="0" w:space="0" w:color="auto"/>
                          </w:divBdr>
                          <w:divsChild>
                            <w:div w:id="589655999">
                              <w:marLeft w:val="0"/>
                              <w:marRight w:val="0"/>
                              <w:marTop w:val="0"/>
                              <w:marBottom w:val="0"/>
                              <w:divBdr>
                                <w:top w:val="none" w:sz="0" w:space="0" w:color="auto"/>
                                <w:left w:val="none" w:sz="0" w:space="0" w:color="auto"/>
                                <w:bottom w:val="none" w:sz="0" w:space="0" w:color="auto"/>
                                <w:right w:val="none" w:sz="0" w:space="0" w:color="auto"/>
                              </w:divBdr>
                              <w:divsChild>
                                <w:div w:id="290551263">
                                  <w:marLeft w:val="0"/>
                                  <w:marRight w:val="0"/>
                                  <w:marTop w:val="0"/>
                                  <w:marBottom w:val="0"/>
                                  <w:divBdr>
                                    <w:top w:val="none" w:sz="0" w:space="0" w:color="auto"/>
                                    <w:left w:val="none" w:sz="0" w:space="0" w:color="auto"/>
                                    <w:bottom w:val="none" w:sz="0" w:space="0" w:color="auto"/>
                                    <w:right w:val="none" w:sz="0" w:space="0" w:color="auto"/>
                                  </w:divBdr>
                                  <w:divsChild>
                                    <w:div w:id="1641576730">
                                      <w:marLeft w:val="0"/>
                                      <w:marRight w:val="0"/>
                                      <w:marTop w:val="0"/>
                                      <w:marBottom w:val="0"/>
                                      <w:divBdr>
                                        <w:top w:val="none" w:sz="0" w:space="0" w:color="auto"/>
                                        <w:left w:val="none" w:sz="0" w:space="0" w:color="auto"/>
                                        <w:bottom w:val="none" w:sz="0" w:space="0" w:color="auto"/>
                                        <w:right w:val="none" w:sz="0" w:space="0" w:color="auto"/>
                                      </w:divBdr>
                                      <w:divsChild>
                                        <w:div w:id="1245724525">
                                          <w:marLeft w:val="0"/>
                                          <w:marRight w:val="0"/>
                                          <w:marTop w:val="0"/>
                                          <w:marBottom w:val="495"/>
                                          <w:divBdr>
                                            <w:top w:val="none" w:sz="0" w:space="0" w:color="auto"/>
                                            <w:left w:val="none" w:sz="0" w:space="0" w:color="auto"/>
                                            <w:bottom w:val="none" w:sz="0" w:space="0" w:color="auto"/>
                                            <w:right w:val="none" w:sz="0" w:space="0" w:color="auto"/>
                                          </w:divBdr>
                                          <w:divsChild>
                                            <w:div w:id="1390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58839">
      <w:bodyDiv w:val="1"/>
      <w:marLeft w:val="0"/>
      <w:marRight w:val="0"/>
      <w:marTop w:val="0"/>
      <w:marBottom w:val="0"/>
      <w:divBdr>
        <w:top w:val="none" w:sz="0" w:space="0" w:color="auto"/>
        <w:left w:val="none" w:sz="0" w:space="0" w:color="auto"/>
        <w:bottom w:val="none" w:sz="0" w:space="0" w:color="auto"/>
        <w:right w:val="none" w:sz="0" w:space="0" w:color="auto"/>
      </w:divBdr>
    </w:div>
    <w:div w:id="335379884">
      <w:bodyDiv w:val="1"/>
      <w:marLeft w:val="0"/>
      <w:marRight w:val="0"/>
      <w:marTop w:val="0"/>
      <w:marBottom w:val="0"/>
      <w:divBdr>
        <w:top w:val="none" w:sz="0" w:space="0" w:color="auto"/>
        <w:left w:val="none" w:sz="0" w:space="0" w:color="auto"/>
        <w:bottom w:val="none" w:sz="0" w:space="0" w:color="auto"/>
        <w:right w:val="none" w:sz="0" w:space="0" w:color="auto"/>
      </w:divBdr>
    </w:div>
    <w:div w:id="354037670">
      <w:bodyDiv w:val="1"/>
      <w:marLeft w:val="0"/>
      <w:marRight w:val="0"/>
      <w:marTop w:val="0"/>
      <w:marBottom w:val="0"/>
      <w:divBdr>
        <w:top w:val="none" w:sz="0" w:space="0" w:color="auto"/>
        <w:left w:val="none" w:sz="0" w:space="0" w:color="auto"/>
        <w:bottom w:val="none" w:sz="0" w:space="0" w:color="auto"/>
        <w:right w:val="none" w:sz="0" w:space="0" w:color="auto"/>
      </w:divBdr>
    </w:div>
    <w:div w:id="440153999">
      <w:bodyDiv w:val="1"/>
      <w:marLeft w:val="0"/>
      <w:marRight w:val="0"/>
      <w:marTop w:val="0"/>
      <w:marBottom w:val="0"/>
      <w:divBdr>
        <w:top w:val="none" w:sz="0" w:space="0" w:color="auto"/>
        <w:left w:val="none" w:sz="0" w:space="0" w:color="auto"/>
        <w:bottom w:val="none" w:sz="0" w:space="0" w:color="auto"/>
        <w:right w:val="none" w:sz="0" w:space="0" w:color="auto"/>
      </w:divBdr>
      <w:divsChild>
        <w:div w:id="199823667">
          <w:marLeft w:val="734"/>
          <w:marRight w:val="0"/>
          <w:marTop w:val="0"/>
          <w:marBottom w:val="0"/>
          <w:divBdr>
            <w:top w:val="none" w:sz="0" w:space="0" w:color="auto"/>
            <w:left w:val="none" w:sz="0" w:space="0" w:color="auto"/>
            <w:bottom w:val="none" w:sz="0" w:space="0" w:color="auto"/>
            <w:right w:val="none" w:sz="0" w:space="0" w:color="auto"/>
          </w:divBdr>
        </w:div>
        <w:div w:id="1799764226">
          <w:marLeft w:val="734"/>
          <w:marRight w:val="0"/>
          <w:marTop w:val="0"/>
          <w:marBottom w:val="0"/>
          <w:divBdr>
            <w:top w:val="none" w:sz="0" w:space="0" w:color="auto"/>
            <w:left w:val="none" w:sz="0" w:space="0" w:color="auto"/>
            <w:bottom w:val="none" w:sz="0" w:space="0" w:color="auto"/>
            <w:right w:val="none" w:sz="0" w:space="0" w:color="auto"/>
          </w:divBdr>
        </w:div>
        <w:div w:id="1779445907">
          <w:marLeft w:val="734"/>
          <w:marRight w:val="0"/>
          <w:marTop w:val="0"/>
          <w:marBottom w:val="0"/>
          <w:divBdr>
            <w:top w:val="none" w:sz="0" w:space="0" w:color="auto"/>
            <w:left w:val="none" w:sz="0" w:space="0" w:color="auto"/>
            <w:bottom w:val="none" w:sz="0" w:space="0" w:color="auto"/>
            <w:right w:val="none" w:sz="0" w:space="0" w:color="auto"/>
          </w:divBdr>
        </w:div>
      </w:divsChild>
    </w:div>
    <w:div w:id="549265420">
      <w:bodyDiv w:val="1"/>
      <w:marLeft w:val="0"/>
      <w:marRight w:val="0"/>
      <w:marTop w:val="0"/>
      <w:marBottom w:val="0"/>
      <w:divBdr>
        <w:top w:val="none" w:sz="0" w:space="0" w:color="auto"/>
        <w:left w:val="none" w:sz="0" w:space="0" w:color="auto"/>
        <w:bottom w:val="none" w:sz="0" w:space="0" w:color="auto"/>
        <w:right w:val="none" w:sz="0" w:space="0" w:color="auto"/>
      </w:divBdr>
    </w:div>
    <w:div w:id="734426231">
      <w:bodyDiv w:val="1"/>
      <w:marLeft w:val="0"/>
      <w:marRight w:val="0"/>
      <w:marTop w:val="0"/>
      <w:marBottom w:val="0"/>
      <w:divBdr>
        <w:top w:val="none" w:sz="0" w:space="0" w:color="auto"/>
        <w:left w:val="none" w:sz="0" w:space="0" w:color="auto"/>
        <w:bottom w:val="none" w:sz="0" w:space="0" w:color="auto"/>
        <w:right w:val="none" w:sz="0" w:space="0" w:color="auto"/>
      </w:divBdr>
      <w:divsChild>
        <w:div w:id="714308990">
          <w:marLeft w:val="734"/>
          <w:marRight w:val="0"/>
          <w:marTop w:val="0"/>
          <w:marBottom w:val="0"/>
          <w:divBdr>
            <w:top w:val="none" w:sz="0" w:space="0" w:color="auto"/>
            <w:left w:val="none" w:sz="0" w:space="0" w:color="auto"/>
            <w:bottom w:val="none" w:sz="0" w:space="0" w:color="auto"/>
            <w:right w:val="none" w:sz="0" w:space="0" w:color="auto"/>
          </w:divBdr>
        </w:div>
        <w:div w:id="843472636">
          <w:marLeft w:val="734"/>
          <w:marRight w:val="0"/>
          <w:marTop w:val="0"/>
          <w:marBottom w:val="0"/>
          <w:divBdr>
            <w:top w:val="none" w:sz="0" w:space="0" w:color="auto"/>
            <w:left w:val="none" w:sz="0" w:space="0" w:color="auto"/>
            <w:bottom w:val="none" w:sz="0" w:space="0" w:color="auto"/>
            <w:right w:val="none" w:sz="0" w:space="0" w:color="auto"/>
          </w:divBdr>
        </w:div>
        <w:div w:id="1041058302">
          <w:marLeft w:val="734"/>
          <w:marRight w:val="0"/>
          <w:marTop w:val="0"/>
          <w:marBottom w:val="0"/>
          <w:divBdr>
            <w:top w:val="none" w:sz="0" w:space="0" w:color="auto"/>
            <w:left w:val="none" w:sz="0" w:space="0" w:color="auto"/>
            <w:bottom w:val="none" w:sz="0" w:space="0" w:color="auto"/>
            <w:right w:val="none" w:sz="0" w:space="0" w:color="auto"/>
          </w:divBdr>
        </w:div>
      </w:divsChild>
    </w:div>
    <w:div w:id="854687656">
      <w:bodyDiv w:val="1"/>
      <w:marLeft w:val="0"/>
      <w:marRight w:val="0"/>
      <w:marTop w:val="0"/>
      <w:marBottom w:val="0"/>
      <w:divBdr>
        <w:top w:val="none" w:sz="0" w:space="0" w:color="auto"/>
        <w:left w:val="none" w:sz="0" w:space="0" w:color="auto"/>
        <w:bottom w:val="none" w:sz="0" w:space="0" w:color="auto"/>
        <w:right w:val="none" w:sz="0" w:space="0" w:color="auto"/>
      </w:divBdr>
    </w:div>
    <w:div w:id="1026062700">
      <w:bodyDiv w:val="1"/>
      <w:marLeft w:val="0"/>
      <w:marRight w:val="0"/>
      <w:marTop w:val="0"/>
      <w:marBottom w:val="0"/>
      <w:divBdr>
        <w:top w:val="none" w:sz="0" w:space="0" w:color="auto"/>
        <w:left w:val="none" w:sz="0" w:space="0" w:color="auto"/>
        <w:bottom w:val="none" w:sz="0" w:space="0" w:color="auto"/>
        <w:right w:val="none" w:sz="0" w:space="0" w:color="auto"/>
      </w:divBdr>
      <w:divsChild>
        <w:div w:id="859389795">
          <w:marLeft w:val="418"/>
          <w:marRight w:val="0"/>
          <w:marTop w:val="0"/>
          <w:marBottom w:val="0"/>
          <w:divBdr>
            <w:top w:val="none" w:sz="0" w:space="0" w:color="auto"/>
            <w:left w:val="none" w:sz="0" w:space="0" w:color="auto"/>
            <w:bottom w:val="none" w:sz="0" w:space="0" w:color="auto"/>
            <w:right w:val="none" w:sz="0" w:space="0" w:color="auto"/>
          </w:divBdr>
        </w:div>
        <w:div w:id="1438603485">
          <w:marLeft w:val="418"/>
          <w:marRight w:val="0"/>
          <w:marTop w:val="0"/>
          <w:marBottom w:val="0"/>
          <w:divBdr>
            <w:top w:val="none" w:sz="0" w:space="0" w:color="auto"/>
            <w:left w:val="none" w:sz="0" w:space="0" w:color="auto"/>
            <w:bottom w:val="none" w:sz="0" w:space="0" w:color="auto"/>
            <w:right w:val="none" w:sz="0" w:space="0" w:color="auto"/>
          </w:divBdr>
        </w:div>
      </w:divsChild>
    </w:div>
    <w:div w:id="1033774398">
      <w:bodyDiv w:val="1"/>
      <w:marLeft w:val="0"/>
      <w:marRight w:val="0"/>
      <w:marTop w:val="0"/>
      <w:marBottom w:val="0"/>
      <w:divBdr>
        <w:top w:val="none" w:sz="0" w:space="0" w:color="auto"/>
        <w:left w:val="none" w:sz="0" w:space="0" w:color="auto"/>
        <w:bottom w:val="none" w:sz="0" w:space="0" w:color="auto"/>
        <w:right w:val="none" w:sz="0" w:space="0" w:color="auto"/>
      </w:divBdr>
    </w:div>
    <w:div w:id="1077439941">
      <w:bodyDiv w:val="1"/>
      <w:marLeft w:val="0"/>
      <w:marRight w:val="0"/>
      <w:marTop w:val="0"/>
      <w:marBottom w:val="0"/>
      <w:divBdr>
        <w:top w:val="none" w:sz="0" w:space="0" w:color="auto"/>
        <w:left w:val="none" w:sz="0" w:space="0" w:color="auto"/>
        <w:bottom w:val="none" w:sz="0" w:space="0" w:color="auto"/>
        <w:right w:val="none" w:sz="0" w:space="0" w:color="auto"/>
      </w:divBdr>
    </w:div>
    <w:div w:id="1115713942">
      <w:bodyDiv w:val="1"/>
      <w:marLeft w:val="0"/>
      <w:marRight w:val="0"/>
      <w:marTop w:val="0"/>
      <w:marBottom w:val="0"/>
      <w:divBdr>
        <w:top w:val="none" w:sz="0" w:space="0" w:color="auto"/>
        <w:left w:val="none" w:sz="0" w:space="0" w:color="auto"/>
        <w:bottom w:val="none" w:sz="0" w:space="0" w:color="auto"/>
        <w:right w:val="none" w:sz="0" w:space="0" w:color="auto"/>
      </w:divBdr>
      <w:divsChild>
        <w:div w:id="81071103">
          <w:marLeft w:val="734"/>
          <w:marRight w:val="0"/>
          <w:marTop w:val="0"/>
          <w:marBottom w:val="0"/>
          <w:divBdr>
            <w:top w:val="none" w:sz="0" w:space="0" w:color="auto"/>
            <w:left w:val="none" w:sz="0" w:space="0" w:color="auto"/>
            <w:bottom w:val="none" w:sz="0" w:space="0" w:color="auto"/>
            <w:right w:val="none" w:sz="0" w:space="0" w:color="auto"/>
          </w:divBdr>
        </w:div>
      </w:divsChild>
    </w:div>
    <w:div w:id="1347174996">
      <w:bodyDiv w:val="1"/>
      <w:marLeft w:val="0"/>
      <w:marRight w:val="0"/>
      <w:marTop w:val="0"/>
      <w:marBottom w:val="0"/>
      <w:divBdr>
        <w:top w:val="none" w:sz="0" w:space="0" w:color="auto"/>
        <w:left w:val="none" w:sz="0" w:space="0" w:color="auto"/>
        <w:bottom w:val="none" w:sz="0" w:space="0" w:color="auto"/>
        <w:right w:val="none" w:sz="0" w:space="0" w:color="auto"/>
      </w:divBdr>
    </w:div>
    <w:div w:id="1488980065">
      <w:bodyDiv w:val="1"/>
      <w:marLeft w:val="0"/>
      <w:marRight w:val="0"/>
      <w:marTop w:val="0"/>
      <w:marBottom w:val="0"/>
      <w:divBdr>
        <w:top w:val="none" w:sz="0" w:space="0" w:color="auto"/>
        <w:left w:val="none" w:sz="0" w:space="0" w:color="auto"/>
        <w:bottom w:val="none" w:sz="0" w:space="0" w:color="auto"/>
        <w:right w:val="none" w:sz="0" w:space="0" w:color="auto"/>
      </w:divBdr>
    </w:div>
    <w:div w:id="1810320502">
      <w:bodyDiv w:val="1"/>
      <w:marLeft w:val="0"/>
      <w:marRight w:val="0"/>
      <w:marTop w:val="0"/>
      <w:marBottom w:val="0"/>
      <w:divBdr>
        <w:top w:val="none" w:sz="0" w:space="0" w:color="auto"/>
        <w:left w:val="none" w:sz="0" w:space="0" w:color="auto"/>
        <w:bottom w:val="none" w:sz="0" w:space="0" w:color="auto"/>
        <w:right w:val="none" w:sz="0" w:space="0" w:color="auto"/>
      </w:divBdr>
    </w:div>
    <w:div w:id="1860728543">
      <w:bodyDiv w:val="1"/>
      <w:marLeft w:val="0"/>
      <w:marRight w:val="0"/>
      <w:marTop w:val="0"/>
      <w:marBottom w:val="0"/>
      <w:divBdr>
        <w:top w:val="none" w:sz="0" w:space="0" w:color="auto"/>
        <w:left w:val="none" w:sz="0" w:space="0" w:color="auto"/>
        <w:bottom w:val="none" w:sz="0" w:space="0" w:color="auto"/>
        <w:right w:val="none" w:sz="0" w:space="0" w:color="auto"/>
      </w:divBdr>
    </w:div>
    <w:div w:id="1896618097">
      <w:bodyDiv w:val="1"/>
      <w:marLeft w:val="0"/>
      <w:marRight w:val="0"/>
      <w:marTop w:val="0"/>
      <w:marBottom w:val="0"/>
      <w:divBdr>
        <w:top w:val="none" w:sz="0" w:space="0" w:color="auto"/>
        <w:left w:val="none" w:sz="0" w:space="0" w:color="auto"/>
        <w:bottom w:val="none" w:sz="0" w:space="0" w:color="auto"/>
        <w:right w:val="none" w:sz="0" w:space="0" w:color="auto"/>
      </w:divBdr>
    </w:div>
    <w:div w:id="1950819013">
      <w:bodyDiv w:val="1"/>
      <w:marLeft w:val="0"/>
      <w:marRight w:val="0"/>
      <w:marTop w:val="0"/>
      <w:marBottom w:val="0"/>
      <w:divBdr>
        <w:top w:val="none" w:sz="0" w:space="0" w:color="auto"/>
        <w:left w:val="none" w:sz="0" w:space="0" w:color="auto"/>
        <w:bottom w:val="none" w:sz="0" w:space="0" w:color="auto"/>
        <w:right w:val="none" w:sz="0" w:space="0" w:color="auto"/>
      </w:divBdr>
    </w:div>
    <w:div w:id="2011787576">
      <w:bodyDiv w:val="1"/>
      <w:marLeft w:val="0"/>
      <w:marRight w:val="0"/>
      <w:marTop w:val="0"/>
      <w:marBottom w:val="0"/>
      <w:divBdr>
        <w:top w:val="none" w:sz="0" w:space="0" w:color="auto"/>
        <w:left w:val="none" w:sz="0" w:space="0" w:color="auto"/>
        <w:bottom w:val="none" w:sz="0" w:space="0" w:color="auto"/>
        <w:right w:val="none" w:sz="0" w:space="0" w:color="auto"/>
      </w:divBdr>
      <w:divsChild>
        <w:div w:id="141894485">
          <w:marLeft w:val="0"/>
          <w:marRight w:val="0"/>
          <w:marTop w:val="0"/>
          <w:marBottom w:val="0"/>
          <w:divBdr>
            <w:top w:val="none" w:sz="0" w:space="0" w:color="auto"/>
            <w:left w:val="none" w:sz="0" w:space="0" w:color="auto"/>
            <w:bottom w:val="none" w:sz="0" w:space="0" w:color="auto"/>
            <w:right w:val="none" w:sz="0" w:space="0" w:color="auto"/>
          </w:divBdr>
          <w:divsChild>
            <w:div w:id="726100856">
              <w:marLeft w:val="0"/>
              <w:marRight w:val="0"/>
              <w:marTop w:val="0"/>
              <w:marBottom w:val="0"/>
              <w:divBdr>
                <w:top w:val="none" w:sz="0" w:space="0" w:color="auto"/>
                <w:left w:val="none" w:sz="0" w:space="0" w:color="auto"/>
                <w:bottom w:val="none" w:sz="0" w:space="0" w:color="auto"/>
                <w:right w:val="none" w:sz="0" w:space="0" w:color="auto"/>
              </w:divBdr>
              <w:divsChild>
                <w:div w:id="1655377231">
                  <w:marLeft w:val="0"/>
                  <w:marRight w:val="0"/>
                  <w:marTop w:val="0"/>
                  <w:marBottom w:val="0"/>
                  <w:divBdr>
                    <w:top w:val="none" w:sz="0" w:space="0" w:color="auto"/>
                    <w:left w:val="none" w:sz="0" w:space="0" w:color="auto"/>
                    <w:bottom w:val="none" w:sz="0" w:space="0" w:color="auto"/>
                    <w:right w:val="none" w:sz="0" w:space="0" w:color="auto"/>
                  </w:divBdr>
                  <w:divsChild>
                    <w:div w:id="369230137">
                      <w:marLeft w:val="0"/>
                      <w:marRight w:val="0"/>
                      <w:marTop w:val="0"/>
                      <w:marBottom w:val="0"/>
                      <w:divBdr>
                        <w:top w:val="none" w:sz="0" w:space="0" w:color="auto"/>
                        <w:left w:val="none" w:sz="0" w:space="0" w:color="auto"/>
                        <w:bottom w:val="none" w:sz="0" w:space="0" w:color="auto"/>
                        <w:right w:val="none" w:sz="0" w:space="0" w:color="auto"/>
                      </w:divBdr>
                      <w:divsChild>
                        <w:div w:id="881483006">
                          <w:marLeft w:val="0"/>
                          <w:marRight w:val="0"/>
                          <w:marTop w:val="0"/>
                          <w:marBottom w:val="0"/>
                          <w:divBdr>
                            <w:top w:val="none" w:sz="0" w:space="0" w:color="auto"/>
                            <w:left w:val="none" w:sz="0" w:space="0" w:color="auto"/>
                            <w:bottom w:val="none" w:sz="0" w:space="0" w:color="auto"/>
                            <w:right w:val="none" w:sz="0" w:space="0" w:color="auto"/>
                          </w:divBdr>
                          <w:divsChild>
                            <w:div w:id="735054753">
                              <w:marLeft w:val="0"/>
                              <w:marRight w:val="0"/>
                              <w:marTop w:val="0"/>
                              <w:marBottom w:val="0"/>
                              <w:divBdr>
                                <w:top w:val="none" w:sz="0" w:space="0" w:color="auto"/>
                                <w:left w:val="none" w:sz="0" w:space="0" w:color="auto"/>
                                <w:bottom w:val="none" w:sz="0" w:space="0" w:color="auto"/>
                                <w:right w:val="none" w:sz="0" w:space="0" w:color="auto"/>
                              </w:divBdr>
                              <w:divsChild>
                                <w:div w:id="832380604">
                                  <w:marLeft w:val="0"/>
                                  <w:marRight w:val="0"/>
                                  <w:marTop w:val="0"/>
                                  <w:marBottom w:val="0"/>
                                  <w:divBdr>
                                    <w:top w:val="none" w:sz="0" w:space="0" w:color="auto"/>
                                    <w:left w:val="none" w:sz="0" w:space="0" w:color="auto"/>
                                    <w:bottom w:val="none" w:sz="0" w:space="0" w:color="auto"/>
                                    <w:right w:val="none" w:sz="0" w:space="0" w:color="auto"/>
                                  </w:divBdr>
                                  <w:divsChild>
                                    <w:div w:id="471216349">
                                      <w:marLeft w:val="0"/>
                                      <w:marRight w:val="0"/>
                                      <w:marTop w:val="0"/>
                                      <w:marBottom w:val="0"/>
                                      <w:divBdr>
                                        <w:top w:val="none" w:sz="0" w:space="0" w:color="auto"/>
                                        <w:left w:val="none" w:sz="0" w:space="0" w:color="auto"/>
                                        <w:bottom w:val="none" w:sz="0" w:space="0" w:color="auto"/>
                                        <w:right w:val="none" w:sz="0" w:space="0" w:color="auto"/>
                                      </w:divBdr>
                                      <w:divsChild>
                                        <w:div w:id="1041436527">
                                          <w:marLeft w:val="0"/>
                                          <w:marRight w:val="0"/>
                                          <w:marTop w:val="0"/>
                                          <w:marBottom w:val="495"/>
                                          <w:divBdr>
                                            <w:top w:val="none" w:sz="0" w:space="0" w:color="auto"/>
                                            <w:left w:val="none" w:sz="0" w:space="0" w:color="auto"/>
                                            <w:bottom w:val="none" w:sz="0" w:space="0" w:color="auto"/>
                                            <w:right w:val="none" w:sz="0" w:space="0" w:color="auto"/>
                                          </w:divBdr>
                                          <w:divsChild>
                                            <w:div w:id="4452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9114098">
      <w:bodyDiv w:val="1"/>
      <w:marLeft w:val="0"/>
      <w:marRight w:val="0"/>
      <w:marTop w:val="0"/>
      <w:marBottom w:val="0"/>
      <w:divBdr>
        <w:top w:val="none" w:sz="0" w:space="0" w:color="auto"/>
        <w:left w:val="none" w:sz="0" w:space="0" w:color="auto"/>
        <w:bottom w:val="none" w:sz="0" w:space="0" w:color="auto"/>
        <w:right w:val="none" w:sz="0" w:space="0" w:color="auto"/>
      </w:divBdr>
      <w:divsChild>
        <w:div w:id="1272782006">
          <w:marLeft w:val="0"/>
          <w:marRight w:val="0"/>
          <w:marTop w:val="0"/>
          <w:marBottom w:val="0"/>
          <w:divBdr>
            <w:top w:val="none" w:sz="0" w:space="0" w:color="auto"/>
            <w:left w:val="none" w:sz="0" w:space="0" w:color="auto"/>
            <w:bottom w:val="none" w:sz="0" w:space="0" w:color="auto"/>
            <w:right w:val="none" w:sz="0" w:space="0" w:color="auto"/>
          </w:divBdr>
          <w:divsChild>
            <w:div w:id="1910996143">
              <w:marLeft w:val="0"/>
              <w:marRight w:val="0"/>
              <w:marTop w:val="0"/>
              <w:marBottom w:val="0"/>
              <w:divBdr>
                <w:top w:val="none" w:sz="0" w:space="0" w:color="auto"/>
                <w:left w:val="none" w:sz="0" w:space="0" w:color="auto"/>
                <w:bottom w:val="none" w:sz="0" w:space="0" w:color="auto"/>
                <w:right w:val="none" w:sz="0" w:space="0" w:color="auto"/>
              </w:divBdr>
              <w:divsChild>
                <w:div w:id="71121527">
                  <w:marLeft w:val="0"/>
                  <w:marRight w:val="0"/>
                  <w:marTop w:val="0"/>
                  <w:marBottom w:val="0"/>
                  <w:divBdr>
                    <w:top w:val="none" w:sz="0" w:space="0" w:color="auto"/>
                    <w:left w:val="none" w:sz="0" w:space="0" w:color="auto"/>
                    <w:bottom w:val="none" w:sz="0" w:space="0" w:color="auto"/>
                    <w:right w:val="none" w:sz="0" w:space="0" w:color="auto"/>
                  </w:divBdr>
                  <w:divsChild>
                    <w:div w:id="1062144307">
                      <w:marLeft w:val="0"/>
                      <w:marRight w:val="0"/>
                      <w:marTop w:val="0"/>
                      <w:marBottom w:val="0"/>
                      <w:divBdr>
                        <w:top w:val="none" w:sz="0" w:space="0" w:color="auto"/>
                        <w:left w:val="none" w:sz="0" w:space="0" w:color="auto"/>
                        <w:bottom w:val="none" w:sz="0" w:space="0" w:color="auto"/>
                        <w:right w:val="none" w:sz="0" w:space="0" w:color="auto"/>
                      </w:divBdr>
                      <w:divsChild>
                        <w:div w:id="512650713">
                          <w:marLeft w:val="-300"/>
                          <w:marRight w:val="-300"/>
                          <w:marTop w:val="0"/>
                          <w:marBottom w:val="0"/>
                          <w:divBdr>
                            <w:top w:val="none" w:sz="0" w:space="0" w:color="auto"/>
                            <w:left w:val="none" w:sz="0" w:space="0" w:color="auto"/>
                            <w:bottom w:val="none" w:sz="0" w:space="0" w:color="auto"/>
                            <w:right w:val="none" w:sz="0" w:space="0" w:color="auto"/>
                          </w:divBdr>
                          <w:divsChild>
                            <w:div w:id="1212887621">
                              <w:marLeft w:val="0"/>
                              <w:marRight w:val="0"/>
                              <w:marTop w:val="0"/>
                              <w:marBottom w:val="0"/>
                              <w:divBdr>
                                <w:top w:val="none" w:sz="0" w:space="0" w:color="auto"/>
                                <w:left w:val="none" w:sz="0" w:space="0" w:color="auto"/>
                                <w:bottom w:val="none" w:sz="0" w:space="0" w:color="auto"/>
                                <w:right w:val="none" w:sz="0" w:space="0" w:color="auto"/>
                              </w:divBdr>
                              <w:divsChild>
                                <w:div w:id="9677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630712">
              <w:marLeft w:val="0"/>
              <w:marRight w:val="0"/>
              <w:marTop w:val="0"/>
              <w:marBottom w:val="0"/>
              <w:divBdr>
                <w:top w:val="none" w:sz="0" w:space="0" w:color="auto"/>
                <w:left w:val="none" w:sz="0" w:space="0" w:color="auto"/>
                <w:bottom w:val="none" w:sz="0" w:space="0" w:color="auto"/>
                <w:right w:val="none" w:sz="0" w:space="0" w:color="auto"/>
              </w:divBdr>
              <w:divsChild>
                <w:div w:id="1341588444">
                  <w:marLeft w:val="0"/>
                  <w:marRight w:val="0"/>
                  <w:marTop w:val="0"/>
                  <w:marBottom w:val="0"/>
                  <w:divBdr>
                    <w:top w:val="none" w:sz="0" w:space="0" w:color="auto"/>
                    <w:left w:val="none" w:sz="0" w:space="0" w:color="auto"/>
                    <w:bottom w:val="none" w:sz="0" w:space="0" w:color="auto"/>
                    <w:right w:val="none" w:sz="0" w:space="0" w:color="auto"/>
                  </w:divBdr>
                  <w:divsChild>
                    <w:div w:id="64769135">
                      <w:marLeft w:val="0"/>
                      <w:marRight w:val="0"/>
                      <w:marTop w:val="0"/>
                      <w:marBottom w:val="0"/>
                      <w:divBdr>
                        <w:top w:val="none" w:sz="0" w:space="0" w:color="auto"/>
                        <w:left w:val="none" w:sz="0" w:space="0" w:color="auto"/>
                        <w:bottom w:val="none" w:sz="0" w:space="0" w:color="auto"/>
                        <w:right w:val="none" w:sz="0" w:space="0" w:color="auto"/>
                      </w:divBdr>
                      <w:divsChild>
                        <w:div w:id="1347168636">
                          <w:marLeft w:val="-300"/>
                          <w:marRight w:val="-300"/>
                          <w:marTop w:val="0"/>
                          <w:marBottom w:val="0"/>
                          <w:divBdr>
                            <w:top w:val="none" w:sz="0" w:space="0" w:color="auto"/>
                            <w:left w:val="none" w:sz="0" w:space="0" w:color="auto"/>
                            <w:bottom w:val="none" w:sz="0" w:space="0" w:color="auto"/>
                            <w:right w:val="none" w:sz="0" w:space="0" w:color="auto"/>
                          </w:divBdr>
                          <w:divsChild>
                            <w:div w:id="1797521700">
                              <w:marLeft w:val="0"/>
                              <w:marRight w:val="0"/>
                              <w:marTop w:val="0"/>
                              <w:marBottom w:val="0"/>
                              <w:divBdr>
                                <w:top w:val="none" w:sz="0" w:space="0" w:color="auto"/>
                                <w:left w:val="none" w:sz="0" w:space="0" w:color="auto"/>
                                <w:bottom w:val="none" w:sz="0" w:space="0" w:color="auto"/>
                                <w:right w:val="none" w:sz="0" w:space="0" w:color="auto"/>
                              </w:divBdr>
                              <w:divsChild>
                                <w:div w:id="17012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16769">
      <w:bodyDiv w:val="1"/>
      <w:marLeft w:val="0"/>
      <w:marRight w:val="0"/>
      <w:marTop w:val="0"/>
      <w:marBottom w:val="0"/>
      <w:divBdr>
        <w:top w:val="none" w:sz="0" w:space="0" w:color="auto"/>
        <w:left w:val="none" w:sz="0" w:space="0" w:color="auto"/>
        <w:bottom w:val="none" w:sz="0" w:space="0" w:color="auto"/>
        <w:right w:val="none" w:sz="0" w:space="0" w:color="auto"/>
      </w:divBdr>
    </w:div>
    <w:div w:id="2132243222">
      <w:bodyDiv w:val="1"/>
      <w:marLeft w:val="0"/>
      <w:marRight w:val="0"/>
      <w:marTop w:val="0"/>
      <w:marBottom w:val="0"/>
      <w:divBdr>
        <w:top w:val="none" w:sz="0" w:space="0" w:color="auto"/>
        <w:left w:val="none" w:sz="0" w:space="0" w:color="auto"/>
        <w:bottom w:val="none" w:sz="0" w:space="0" w:color="auto"/>
        <w:right w:val="none" w:sz="0" w:space="0" w:color="auto"/>
      </w:divBdr>
      <w:divsChild>
        <w:div w:id="1430614971">
          <w:marLeft w:val="0"/>
          <w:marRight w:val="0"/>
          <w:marTop w:val="0"/>
          <w:marBottom w:val="0"/>
          <w:divBdr>
            <w:top w:val="none" w:sz="0" w:space="0" w:color="auto"/>
            <w:left w:val="none" w:sz="0" w:space="0" w:color="auto"/>
            <w:bottom w:val="none" w:sz="0" w:space="0" w:color="auto"/>
            <w:right w:val="none" w:sz="0" w:space="0" w:color="auto"/>
          </w:divBdr>
          <w:divsChild>
            <w:div w:id="1128475757">
              <w:marLeft w:val="0"/>
              <w:marRight w:val="0"/>
              <w:marTop w:val="0"/>
              <w:marBottom w:val="0"/>
              <w:divBdr>
                <w:top w:val="none" w:sz="0" w:space="0" w:color="auto"/>
                <w:left w:val="none" w:sz="0" w:space="0" w:color="auto"/>
                <w:bottom w:val="none" w:sz="0" w:space="0" w:color="auto"/>
                <w:right w:val="none" w:sz="0" w:space="0" w:color="auto"/>
              </w:divBdr>
              <w:divsChild>
                <w:div w:id="1177770319">
                  <w:marLeft w:val="0"/>
                  <w:marRight w:val="0"/>
                  <w:marTop w:val="0"/>
                  <w:marBottom w:val="0"/>
                  <w:divBdr>
                    <w:top w:val="none" w:sz="0" w:space="0" w:color="auto"/>
                    <w:left w:val="none" w:sz="0" w:space="0" w:color="auto"/>
                    <w:bottom w:val="none" w:sz="0" w:space="0" w:color="auto"/>
                    <w:right w:val="none" w:sz="0" w:space="0" w:color="auto"/>
                  </w:divBdr>
                  <w:divsChild>
                    <w:div w:id="1261453351">
                      <w:marLeft w:val="0"/>
                      <w:marRight w:val="0"/>
                      <w:marTop w:val="0"/>
                      <w:marBottom w:val="0"/>
                      <w:divBdr>
                        <w:top w:val="none" w:sz="0" w:space="0" w:color="auto"/>
                        <w:left w:val="none" w:sz="0" w:space="0" w:color="auto"/>
                        <w:bottom w:val="none" w:sz="0" w:space="0" w:color="auto"/>
                        <w:right w:val="none" w:sz="0" w:space="0" w:color="auto"/>
                      </w:divBdr>
                      <w:divsChild>
                        <w:div w:id="880017568">
                          <w:marLeft w:val="0"/>
                          <w:marRight w:val="0"/>
                          <w:marTop w:val="0"/>
                          <w:marBottom w:val="0"/>
                          <w:divBdr>
                            <w:top w:val="none" w:sz="0" w:space="0" w:color="auto"/>
                            <w:left w:val="none" w:sz="0" w:space="0" w:color="auto"/>
                            <w:bottom w:val="none" w:sz="0" w:space="0" w:color="auto"/>
                            <w:right w:val="none" w:sz="0" w:space="0" w:color="auto"/>
                          </w:divBdr>
                          <w:divsChild>
                            <w:div w:id="1664626142">
                              <w:marLeft w:val="0"/>
                              <w:marRight w:val="0"/>
                              <w:marTop w:val="225"/>
                              <w:marBottom w:val="330"/>
                              <w:divBdr>
                                <w:top w:val="none" w:sz="0" w:space="0" w:color="auto"/>
                                <w:left w:val="none" w:sz="0" w:space="0" w:color="auto"/>
                                <w:bottom w:val="none" w:sz="0" w:space="0" w:color="auto"/>
                                <w:right w:val="none" w:sz="0" w:space="0" w:color="auto"/>
                              </w:divBdr>
                              <w:divsChild>
                                <w:div w:id="13354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3337">
                          <w:marLeft w:val="0"/>
                          <w:marRight w:val="0"/>
                          <w:marTop w:val="0"/>
                          <w:marBottom w:val="0"/>
                          <w:divBdr>
                            <w:top w:val="none" w:sz="0" w:space="0" w:color="auto"/>
                            <w:left w:val="none" w:sz="0" w:space="0" w:color="auto"/>
                            <w:bottom w:val="none" w:sz="0" w:space="0" w:color="auto"/>
                            <w:right w:val="none" w:sz="0" w:space="0" w:color="auto"/>
                          </w:divBdr>
                          <w:divsChild>
                            <w:div w:id="1871331061">
                              <w:marLeft w:val="0"/>
                              <w:marRight w:val="0"/>
                              <w:marTop w:val="0"/>
                              <w:marBottom w:val="0"/>
                              <w:divBdr>
                                <w:top w:val="none" w:sz="0" w:space="0" w:color="auto"/>
                                <w:left w:val="none" w:sz="0" w:space="0" w:color="auto"/>
                                <w:bottom w:val="none" w:sz="0" w:space="0" w:color="auto"/>
                                <w:right w:val="none" w:sz="0" w:space="0" w:color="auto"/>
                              </w:divBdr>
                              <w:divsChild>
                                <w:div w:id="20879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n05265\Local%20Settings\Temporary%20Internet%20Files\Content.Outlook\3D9K0Y7T\JDWB%20intern%202007%20Ab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91D08C523A684BB51F542E048DDA95" ma:contentTypeVersion="1" ma:contentTypeDescription="Create a new document." ma:contentTypeScope="" ma:versionID="3ea3da3e0ee4e5f68fe346c017044d8c">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931CD-74AF-4A59-A6C5-AE89C2426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78973-2DF9-41D5-9CB6-02588F3E220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4203E1A-0C90-4006-ADA1-73C26842316A}">
  <ds:schemaRefs>
    <ds:schemaRef ds:uri="http://schemas.microsoft.com/sharepoint/v3/contenttype/forms"/>
  </ds:schemaRefs>
</ds:datastoreItem>
</file>

<file path=customXml/itemProps4.xml><?xml version="1.0" encoding="utf-8"?>
<ds:datastoreItem xmlns:ds="http://schemas.openxmlformats.org/officeDocument/2006/customXml" ds:itemID="{9B5F64C7-AC40-4027-B915-E550E62C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JDWB intern 2007 Abt</Template>
  <TotalTime>0</TotalTime>
  <Pages>4</Pages>
  <Words>1650</Words>
  <Characters>9406</Characters>
  <Application>Microsoft Office Word</Application>
  <DocSecurity>0</DocSecurity>
  <Lines>78</Lines>
  <Paragraphs>22</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Deere &amp; Company</Company>
  <LinksUpToDate>false</LinksUpToDate>
  <CharactersWithSpaces>11034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Lenge, Ralf</dc:creator>
  <cp:lastModifiedBy>Patrizia</cp:lastModifiedBy>
  <cp:revision>2</cp:revision>
  <cp:lastPrinted>2001-12-14T14:25:00Z</cp:lastPrinted>
  <dcterms:created xsi:type="dcterms:W3CDTF">2019-05-24T11:00:00Z</dcterms:created>
  <dcterms:modified xsi:type="dcterms:W3CDTF">2019-05-24T11:00:00Z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0x0101008191D08C523A684BB51F542E048DDA95</vt:lpwstr>
  </property>
</Properties>
</file>